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2B" w:rsidRDefault="002C782B" w:rsidP="002C782B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GUIDELINES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RESULTING FROM THE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>107</w:t>
      </w:r>
      <w:r>
        <w:rPr>
          <w:rFonts w:ascii="TimesNewRoman,Bold" w:hAnsi="TimesNewRoman,Bold" w:cs="TimesNewRoman,Bold"/>
          <w:b/>
          <w:bCs/>
          <w:sz w:val="16"/>
          <w:szCs w:val="16"/>
        </w:rPr>
        <w:t xml:space="preserve">th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MEETING </w:t>
      </w:r>
      <w:r>
        <w:rPr>
          <w:rFonts w:ascii="TimesNewRoman" w:hAnsi="TimesNewRoman" w:cs="TimesNewRoman"/>
          <w:sz w:val="20"/>
          <w:szCs w:val="20"/>
        </w:rPr>
        <w:t>of 8 July 2016</w:t>
      </w:r>
    </w:p>
    <w:p w:rsidR="002C782B" w:rsidRDefault="002C782B" w:rsidP="002C782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DOCUMENT D – </w:t>
      </w:r>
      <w:proofErr w:type="gramStart"/>
      <w:r>
        <w:rPr>
          <w:rFonts w:ascii="TimesNewRoman,Bold" w:hAnsi="TimesNewRoman,Bold" w:cs="TimesNewRoman,Bold"/>
          <w:b/>
          <w:bCs/>
          <w:sz w:val="28"/>
          <w:szCs w:val="28"/>
        </w:rPr>
        <w:t>taxud.c.1(</w:t>
      </w:r>
      <w:proofErr w:type="gramEnd"/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2017)1402399 </w:t>
      </w:r>
      <w:r>
        <w:rPr>
          <w:rFonts w:ascii="TimesNewRoman" w:hAnsi="TimesNewRoman" w:cs="TimesNewRoman"/>
          <w:sz w:val="24"/>
          <w:szCs w:val="24"/>
        </w:rPr>
        <w:t xml:space="preserve">– </w:t>
      </w:r>
      <w:r>
        <w:rPr>
          <w:rFonts w:ascii="TimesNewRoman,Bold" w:hAnsi="TimesNewRoman,Bold" w:cs="TimesNewRoman,Bold"/>
          <w:b/>
          <w:bCs/>
          <w:sz w:val="32"/>
          <w:szCs w:val="32"/>
        </w:rPr>
        <w:t xml:space="preserve">914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(1/2)</w:t>
      </w:r>
    </w:p>
    <w:p w:rsidR="002C782B" w:rsidRDefault="002C782B" w:rsidP="002C782B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4.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>NEW LEGISLATION – MATTERS CONCERNING THE IMPLEMENTATION OF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RECENTLY ADOPTED EU VAT PROVISIONS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 w:hanging="426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4.1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ab/>
      </w:r>
      <w:r>
        <w:rPr>
          <w:rFonts w:ascii="TimesNewRoman,Bold" w:hAnsi="TimesNewRoman,Bold" w:cs="TimesNewRoman,Bold"/>
          <w:b/>
          <w:bCs/>
          <w:sz w:val="24"/>
          <w:szCs w:val="24"/>
        </w:rPr>
        <w:t>Origin: Commission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References: Articles 44, 46 and 58 of the VAT Directive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Article 7(3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)(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>t) and (u) of the VAT Implementing Regulation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Subject: VAT 2015: Interaction between electronically supplied services and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intermediation services and initial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discussion on the scope of the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concept of intermediation services when taken in a broader context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(Document </w:t>
      </w:r>
      <w:proofErr w:type="gramStart"/>
      <w:r>
        <w:rPr>
          <w:rFonts w:ascii="TimesNewRoman,Bold" w:hAnsi="TimesNewRoman,Bold" w:cs="TimesNewRoman,Bold"/>
          <w:b/>
          <w:bCs/>
          <w:sz w:val="24"/>
          <w:szCs w:val="24"/>
        </w:rPr>
        <w:t>taxud.c.1(</w:t>
      </w:r>
      <w:proofErr w:type="gramEnd"/>
      <w:r>
        <w:rPr>
          <w:rFonts w:ascii="TimesNewRoman,Bold" w:hAnsi="TimesNewRoman,Bold" w:cs="TimesNewRoman,Bold"/>
          <w:b/>
          <w:bCs/>
          <w:sz w:val="24"/>
          <w:szCs w:val="24"/>
        </w:rPr>
        <w:t>2016)3297911 – Working paper No 906)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1.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 xml:space="preserve">The VAT Committee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almost unanimously </w:t>
      </w:r>
      <w:r>
        <w:rPr>
          <w:rFonts w:ascii="TimesNewRoman" w:hAnsi="TimesNewRoman" w:cs="TimesNewRoman"/>
          <w:sz w:val="24"/>
          <w:szCs w:val="24"/>
        </w:rPr>
        <w:t>agrees that intermediation services, provided in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the name and on behalf of another person, relating to supplies of services of a tangible nature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as listed under points (t) and (u) of Article 7(3) of the VAT Implementing Regulation, shall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not be covered by those provisions.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2.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 xml:space="preserve">The VAT Committee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almost unanimously </w:t>
      </w:r>
      <w:r>
        <w:rPr>
          <w:rFonts w:ascii="TimesNewRoman" w:hAnsi="TimesNewRoman" w:cs="TimesNewRoman"/>
          <w:sz w:val="24"/>
          <w:szCs w:val="24"/>
        </w:rPr>
        <w:t>acknowledges that the place of supply of services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qualified as intermediation services provided, in the name and on behalf of another person, to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 non-taxable person shall be the place where the underlying transaction is supplied in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accordance with Article 46 of the VAT Directive.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3.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 xml:space="preserve">The VAT Committee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almost unanimously </w:t>
      </w:r>
      <w:r>
        <w:rPr>
          <w:rFonts w:ascii="TimesNewRoman" w:hAnsi="TimesNewRoman" w:cs="TimesNewRoman"/>
          <w:sz w:val="24"/>
          <w:szCs w:val="24"/>
        </w:rPr>
        <w:t>agrees that to qualify as intermediation and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therefore be covered by Article 46 of the VAT Directive, services provided in a digital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environment shall require an active involvement of the intermediary which goes beyond the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automated supply provided with the use of only minimal human intervention (within the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meaning of Article 7(1) of the VAT Implementing Regulation).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>In particular, where an individual supply requires non automated, human, distinct reactions on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the side of the supplier, the VAT Committee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almost unanimously </w:t>
      </w:r>
      <w:r>
        <w:rPr>
          <w:rFonts w:ascii="TimesNewRoman" w:hAnsi="TimesNewRoman" w:cs="TimesNewRoman"/>
          <w:sz w:val="24"/>
          <w:szCs w:val="24"/>
        </w:rPr>
        <w:t>agrees that the services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shall be seen as requiring active involvement of the intermediary in the transaction.</w:t>
      </w:r>
    </w:p>
    <w:p w:rsidR="002C782B" w:rsidRDefault="002C782B" w:rsidP="002C782B">
      <w:p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4. 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 xml:space="preserve">The VAT Committee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almost unanimously </w:t>
      </w:r>
      <w:r>
        <w:rPr>
          <w:rFonts w:ascii="TimesNewRoman" w:hAnsi="TimesNewRoman" w:cs="TimesNewRoman"/>
          <w:sz w:val="24"/>
          <w:szCs w:val="24"/>
        </w:rPr>
        <w:t>considers that the services of online platforms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such as a marketplace, providing only passive automated services, requiring not more than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minimal human intervention (within the meaning of Article 7(1) of the VAT Implementing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Regulation), and allowing two parties to enter into contact with a view of obtaining separate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goods or services, do not fulfil the conditions to be regarded as intermediation services and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therefore shall not be covered by Article 46 of the VAT Directive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2C782B" w:rsidRPr="002C782B" w:rsidRDefault="002C782B" w:rsidP="002C782B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NewRoman" w:hAnsi="TimesNewRoman" w:cs="TimesNewRoman"/>
          <w:sz w:val="24"/>
          <w:szCs w:val="24"/>
        </w:rPr>
      </w:pPr>
      <w:bookmarkStart w:id="0" w:name="_GoBack"/>
      <w:bookmarkEnd w:id="0"/>
      <w:r>
        <w:rPr>
          <w:rFonts w:ascii="TimesNewRoman" w:hAnsi="TimesNewRoman" w:cs="TimesNewRoman"/>
          <w:sz w:val="24"/>
          <w:szCs w:val="24"/>
        </w:rPr>
        <w:t>For example, where a service consists of a supply automatically generated from a computer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via the Internet or another electronic network, in response to specific data input by the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 xml:space="preserve">recipient, the VAT Committee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almost unanimously </w:t>
      </w:r>
      <w:r>
        <w:rPr>
          <w:rFonts w:ascii="TimesNewRoman" w:hAnsi="TimesNewRoman" w:cs="TimesNewRoman"/>
          <w:sz w:val="24"/>
          <w:szCs w:val="24"/>
        </w:rPr>
        <w:t>confirms that it shall be seen as a passive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automated service.</w:t>
      </w:r>
    </w:p>
    <w:sectPr w:rsidR="002C782B" w:rsidRPr="002C7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2B"/>
    <w:rsid w:val="002C782B"/>
    <w:rsid w:val="00691C84"/>
    <w:rsid w:val="006F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1</cp:revision>
  <cp:lastPrinted>2017-05-16T08:27:00Z</cp:lastPrinted>
  <dcterms:created xsi:type="dcterms:W3CDTF">2017-05-16T08:18:00Z</dcterms:created>
  <dcterms:modified xsi:type="dcterms:W3CDTF">2017-05-16T09:07:00Z</dcterms:modified>
</cp:coreProperties>
</file>