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40E5C" w14:textId="77777777" w:rsidR="003E4026" w:rsidRDefault="00E45DCB">
      <w:pPr>
        <w:pStyle w:val="Heading1"/>
        <w:jc w:val="center"/>
        <w:rPr>
          <w:sz w:val="36"/>
        </w:rPr>
      </w:pPr>
      <w:bookmarkStart w:id="0" w:name="_GoBack"/>
      <w:bookmarkEnd w:id="0"/>
      <w:r>
        <w:rPr>
          <w:sz w:val="36"/>
        </w:rPr>
        <w:t xml:space="preserve">Eligibility criteria for participating in the test phase of </w:t>
      </w:r>
      <w:proofErr w:type="spellStart"/>
      <w:r>
        <w:rPr>
          <w:sz w:val="36"/>
        </w:rPr>
        <w:t>MobiliseSME</w:t>
      </w:r>
      <w:proofErr w:type="spellEnd"/>
      <w:r>
        <w:rPr>
          <w:sz w:val="36"/>
        </w:rPr>
        <w:t xml:space="preserve"> project</w:t>
      </w:r>
    </w:p>
    <w:p w14:paraId="6DF7D894" w14:textId="77777777" w:rsidR="003E4026" w:rsidRDefault="003E4026">
      <w:pPr>
        <w:sectPr w:rsidR="003E4026">
          <w:headerReference w:type="default" r:id="rId9"/>
          <w:footerReference w:type="default" r:id="rId10"/>
          <w:pgSz w:w="11906" w:h="16838"/>
          <w:pgMar w:top="1417" w:right="1134" w:bottom="1134" w:left="1134" w:header="708" w:footer="113" w:gutter="0"/>
          <w:cols w:space="720"/>
          <w:formProt w:val="0"/>
          <w:docGrid w:linePitch="600" w:charSpace="36864"/>
        </w:sectPr>
      </w:pPr>
    </w:p>
    <w:p w14:paraId="583C9B07" w14:textId="77777777" w:rsidR="003E4026" w:rsidRDefault="003E4026">
      <w:pPr>
        <w:spacing w:after="0"/>
        <w:rPr>
          <w:sz w:val="24"/>
        </w:rPr>
      </w:pPr>
    </w:p>
    <w:p w14:paraId="28143FB9" w14:textId="77777777" w:rsidR="003E4026" w:rsidRDefault="00E45DCB">
      <w:pPr>
        <w:spacing w:after="0"/>
        <w:rPr>
          <w:sz w:val="24"/>
        </w:rPr>
      </w:pPr>
      <w:r>
        <w:rPr>
          <w:sz w:val="24"/>
        </w:rPr>
        <w:t xml:space="preserve">Please find below the conditions for participating in exchange in the framework of </w:t>
      </w:r>
      <w:proofErr w:type="spellStart"/>
      <w:r>
        <w:rPr>
          <w:sz w:val="24"/>
        </w:rPr>
        <w:t>MobiliseSME</w:t>
      </w:r>
      <w:proofErr w:type="spellEnd"/>
      <w:r>
        <w:rPr>
          <w:sz w:val="24"/>
        </w:rPr>
        <w:t>:</w:t>
      </w:r>
    </w:p>
    <w:p w14:paraId="2BDD706E" w14:textId="77777777" w:rsidR="003E4026" w:rsidRDefault="003E4026">
      <w:pPr>
        <w:spacing w:after="0"/>
        <w:rPr>
          <w:sz w:val="24"/>
        </w:rPr>
      </w:pPr>
    </w:p>
    <w:p w14:paraId="692EE5BA" w14:textId="77777777" w:rsidR="003E4026" w:rsidRDefault="00E45DCB">
      <w:pPr>
        <w:pStyle w:val="ListParagraph"/>
        <w:numPr>
          <w:ilvl w:val="0"/>
          <w:numId w:val="4"/>
        </w:numPr>
        <w:spacing w:after="0"/>
        <w:rPr>
          <w:sz w:val="24"/>
          <w:u w:val="single"/>
        </w:rPr>
      </w:pPr>
      <w:r>
        <w:rPr>
          <w:sz w:val="24"/>
          <w:u w:val="single"/>
        </w:rPr>
        <w:t>Objective:</w:t>
      </w:r>
    </w:p>
    <w:p w14:paraId="4730127F" w14:textId="77777777" w:rsidR="003E4026" w:rsidRDefault="00E45DCB">
      <w:pPr>
        <w:spacing w:after="0" w:line="360" w:lineRule="auto"/>
        <w:rPr>
          <w:sz w:val="24"/>
        </w:rPr>
      </w:pPr>
      <w:r>
        <w:rPr>
          <w:sz w:val="24"/>
        </w:rPr>
        <w:t xml:space="preserve">The exchange agreed by the two companies and the employee must be intended only for </w:t>
      </w:r>
      <w:r>
        <w:rPr>
          <w:b/>
          <w:sz w:val="24"/>
        </w:rPr>
        <w:t>learning purposes</w:t>
      </w:r>
      <w:r>
        <w:rPr>
          <w:sz w:val="24"/>
        </w:rPr>
        <w:t xml:space="preserve"> (no posting or filling-out manpower gap), which must be evidenced in an agreement signed between all three parties (employee, sending company, host company).</w:t>
      </w:r>
    </w:p>
    <w:p w14:paraId="1A426AA1" w14:textId="77777777" w:rsidR="003E4026" w:rsidRDefault="003E4026">
      <w:pPr>
        <w:spacing w:after="0"/>
        <w:rPr>
          <w:sz w:val="24"/>
        </w:rPr>
      </w:pPr>
    </w:p>
    <w:p w14:paraId="010169D3" w14:textId="77777777" w:rsidR="003E4026" w:rsidRDefault="00E45DCB">
      <w:pPr>
        <w:pStyle w:val="TextBody"/>
        <w:numPr>
          <w:ilvl w:val="0"/>
          <w:numId w:val="3"/>
        </w:numPr>
        <w:spacing w:after="0"/>
        <w:jc w:val="both"/>
        <w:rPr>
          <w:sz w:val="24"/>
          <w:u w:val="single"/>
        </w:rPr>
      </w:pPr>
      <w:r>
        <w:rPr>
          <w:sz w:val="24"/>
          <w:u w:val="single"/>
        </w:rPr>
        <w:t>Companies:</w:t>
      </w:r>
    </w:p>
    <w:p w14:paraId="2E457422" w14:textId="77777777" w:rsidR="003E4026" w:rsidRDefault="00E45DCB">
      <w:pPr>
        <w:pStyle w:val="TextBody"/>
        <w:spacing w:line="360" w:lineRule="auto"/>
        <w:jc w:val="both"/>
        <w:rPr>
          <w:sz w:val="24"/>
        </w:rPr>
      </w:pPr>
      <w:bookmarkStart w:id="1" w:name="widget_layout259"/>
      <w:bookmarkStart w:id="2" w:name="widget_layout261"/>
      <w:bookmarkStart w:id="3" w:name="widget_layout266"/>
      <w:bookmarkEnd w:id="1"/>
      <w:bookmarkEnd w:id="2"/>
      <w:bookmarkEnd w:id="3"/>
      <w:r>
        <w:rPr>
          <w:sz w:val="24"/>
        </w:rPr>
        <w:t xml:space="preserve">Participation in this project is open for </w:t>
      </w:r>
      <w:r>
        <w:rPr>
          <w:b/>
          <w:sz w:val="24"/>
        </w:rPr>
        <w:t>micro-, small- and medium-sized enterprises</w:t>
      </w:r>
      <w:r>
        <w:rPr>
          <w:sz w:val="24"/>
        </w:rPr>
        <w:t xml:space="preserve"> (MSME) and their employees provided that these companies are established in a country eligible to participate in the </w:t>
      </w:r>
      <w:proofErr w:type="spellStart"/>
      <w:r>
        <w:rPr>
          <w:sz w:val="24"/>
        </w:rPr>
        <w:t>EaSI</w:t>
      </w:r>
      <w:proofErr w:type="spellEnd"/>
      <w:r>
        <w:rPr>
          <w:sz w:val="24"/>
        </w:rPr>
        <w:t xml:space="preserve"> programme-Progress of the European Commission (please see below). Companies must fulfil the criteria of SME as defined by the European Commission in its Recommendation (2003/361/EC) of 6 May 2003 (employing fewer than 250 people and have an annual turnover not exceeding EUR 50 million and/or an annual total balance sheet not exceeding EUR 43 million). </w:t>
      </w:r>
    </w:p>
    <w:p w14:paraId="398503D6" w14:textId="77777777" w:rsidR="003E4026" w:rsidRDefault="00E45DCB">
      <w:pPr>
        <w:pStyle w:val="TextBody"/>
        <w:spacing w:line="360" w:lineRule="auto"/>
        <w:jc w:val="both"/>
        <w:rPr>
          <w:sz w:val="24"/>
        </w:rPr>
      </w:pPr>
      <w:r>
        <w:rPr>
          <w:sz w:val="24"/>
        </w:rPr>
        <w:t xml:space="preserve">We also accept </w:t>
      </w:r>
      <w:r>
        <w:rPr>
          <w:b/>
          <w:sz w:val="24"/>
        </w:rPr>
        <w:t>one-man enterprises</w:t>
      </w:r>
      <w:r>
        <w:rPr>
          <w:sz w:val="24"/>
        </w:rPr>
        <w:t xml:space="preserve"> (self-employed that are incorporated into a legal entity and have a VAT number) and the following </w:t>
      </w:r>
      <w:r>
        <w:rPr>
          <w:b/>
          <w:sz w:val="24"/>
        </w:rPr>
        <w:t>liberal professions</w:t>
      </w:r>
      <w:r>
        <w:rPr>
          <w:sz w:val="24"/>
        </w:rPr>
        <w:t>: lawyers, notaries, tax accountants, certified financial auditors, medical doctors, pharmacists, psychologists, architects, engineers. Applicants working in the field of liberal professions must be registered in their national professional bodies and be admitted to practice without restriction.</w:t>
      </w:r>
    </w:p>
    <w:p w14:paraId="3EF0F2A9" w14:textId="77777777" w:rsidR="003E4026" w:rsidRDefault="00E45DCB">
      <w:pPr>
        <w:pStyle w:val="TextBody"/>
        <w:spacing w:line="360" w:lineRule="auto"/>
        <w:jc w:val="both"/>
        <w:rPr>
          <w:sz w:val="24"/>
        </w:rPr>
      </w:pPr>
      <w:r>
        <w:rPr>
          <w:b/>
          <w:sz w:val="24"/>
        </w:rPr>
        <w:t>Large companies</w:t>
      </w:r>
      <w:r>
        <w:rPr>
          <w:sz w:val="24"/>
        </w:rPr>
        <w:t xml:space="preserve"> can </w:t>
      </w:r>
      <w:r>
        <w:rPr>
          <w:b/>
          <w:sz w:val="24"/>
        </w:rPr>
        <w:t>only</w:t>
      </w:r>
      <w:r>
        <w:rPr>
          <w:sz w:val="24"/>
        </w:rPr>
        <w:t xml:space="preserve"> participate </w:t>
      </w:r>
      <w:r>
        <w:rPr>
          <w:b/>
          <w:sz w:val="24"/>
        </w:rPr>
        <w:t>as host companies</w:t>
      </w:r>
      <w:r>
        <w:rPr>
          <w:sz w:val="24"/>
        </w:rPr>
        <w:t xml:space="preserve"> for employees of MSMEs; employees of large companies cannot benefit from the financial assistance. </w:t>
      </w:r>
    </w:p>
    <w:p w14:paraId="3C9A0B52" w14:textId="77777777" w:rsidR="003E4026" w:rsidRDefault="00E45DCB">
      <w:pPr>
        <w:pStyle w:val="TextBody"/>
        <w:spacing w:line="360" w:lineRule="auto"/>
        <w:jc w:val="both"/>
        <w:rPr>
          <w:sz w:val="24"/>
        </w:rPr>
      </w:pPr>
      <w:r>
        <w:rPr>
          <w:sz w:val="24"/>
        </w:rPr>
        <w:t xml:space="preserve">All participating companies must comply with the requirement of legal establishment in a country eligible for participation in the </w:t>
      </w:r>
      <w:proofErr w:type="spellStart"/>
      <w:r>
        <w:rPr>
          <w:sz w:val="24"/>
        </w:rPr>
        <w:t>EaSI</w:t>
      </w:r>
      <w:proofErr w:type="spellEnd"/>
      <w:r>
        <w:rPr>
          <w:sz w:val="24"/>
        </w:rPr>
        <w:t xml:space="preserve"> programme-Progress and must have a VAT number.</w:t>
      </w:r>
    </w:p>
    <w:p w14:paraId="7CB11F07" w14:textId="77777777" w:rsidR="003E4026" w:rsidRDefault="003E4026">
      <w:pPr>
        <w:pStyle w:val="TextBody"/>
        <w:spacing w:after="0"/>
        <w:jc w:val="both"/>
        <w:rPr>
          <w:sz w:val="24"/>
          <w:u w:val="single"/>
        </w:rPr>
      </w:pPr>
    </w:p>
    <w:p w14:paraId="3200525E" w14:textId="77777777" w:rsidR="003E4026" w:rsidRDefault="00E45DCB">
      <w:pPr>
        <w:pStyle w:val="TextBody"/>
        <w:numPr>
          <w:ilvl w:val="0"/>
          <w:numId w:val="3"/>
        </w:numPr>
        <w:spacing w:after="0"/>
        <w:jc w:val="both"/>
        <w:rPr>
          <w:sz w:val="24"/>
          <w:u w:val="single"/>
        </w:rPr>
      </w:pPr>
      <w:r>
        <w:rPr>
          <w:sz w:val="24"/>
          <w:u w:val="single"/>
        </w:rPr>
        <w:lastRenderedPageBreak/>
        <w:t>Eligible countries:</w:t>
      </w:r>
    </w:p>
    <w:p w14:paraId="5164BFAE" w14:textId="77777777" w:rsidR="003E4026" w:rsidRDefault="00E45DCB">
      <w:pPr>
        <w:pStyle w:val="TextBody"/>
        <w:numPr>
          <w:ilvl w:val="0"/>
          <w:numId w:val="1"/>
        </w:numPr>
        <w:suppressAutoHyphens w:val="0"/>
        <w:spacing w:line="360" w:lineRule="auto"/>
        <w:jc w:val="both"/>
        <w:rPr>
          <w:sz w:val="24"/>
        </w:rPr>
      </w:pPr>
      <w:r>
        <w:rPr>
          <w:sz w:val="24"/>
        </w:rPr>
        <w:t>EU countries</w:t>
      </w:r>
    </w:p>
    <w:p w14:paraId="211A66C1" w14:textId="77777777" w:rsidR="003E4026" w:rsidRDefault="00E45DCB">
      <w:pPr>
        <w:pStyle w:val="TextBody"/>
        <w:numPr>
          <w:ilvl w:val="0"/>
          <w:numId w:val="1"/>
        </w:numPr>
        <w:suppressAutoHyphens w:val="0"/>
        <w:spacing w:line="360" w:lineRule="auto"/>
        <w:jc w:val="both"/>
        <w:rPr>
          <w:sz w:val="24"/>
        </w:rPr>
      </w:pPr>
      <w:r>
        <w:rPr>
          <w:sz w:val="24"/>
        </w:rPr>
        <w:t>Candidate and potential candidate countries (Albania, Macedonia, Montenegro, Serbia, Turkey, Bosnia and Herzegovina, Kosovo)</w:t>
      </w:r>
    </w:p>
    <w:p w14:paraId="0CE4CD36" w14:textId="77777777" w:rsidR="003E4026" w:rsidRDefault="00E45DCB">
      <w:pPr>
        <w:pStyle w:val="TextBody"/>
        <w:numPr>
          <w:ilvl w:val="0"/>
          <w:numId w:val="1"/>
        </w:numPr>
        <w:suppressAutoHyphens w:val="0"/>
        <w:spacing w:line="360" w:lineRule="auto"/>
        <w:jc w:val="both"/>
        <w:rPr>
          <w:sz w:val="24"/>
        </w:rPr>
      </w:pPr>
      <w:r>
        <w:rPr>
          <w:sz w:val="24"/>
        </w:rPr>
        <w:t>EEA countries and EFTA countries (Liechtenstein, Iceland, Norway)</w:t>
      </w:r>
    </w:p>
    <w:p w14:paraId="40A154F4" w14:textId="77777777" w:rsidR="003E4026" w:rsidRDefault="003E4026">
      <w:pPr>
        <w:pStyle w:val="TextBody"/>
        <w:spacing w:after="0" w:line="276" w:lineRule="auto"/>
        <w:jc w:val="both"/>
        <w:rPr>
          <w:sz w:val="24"/>
          <w:u w:val="single"/>
        </w:rPr>
      </w:pPr>
    </w:p>
    <w:p w14:paraId="0844E14C" w14:textId="77777777" w:rsidR="003E4026" w:rsidRDefault="00E45DCB">
      <w:pPr>
        <w:pStyle w:val="TextBody"/>
        <w:numPr>
          <w:ilvl w:val="0"/>
          <w:numId w:val="3"/>
        </w:numPr>
        <w:spacing w:after="0"/>
        <w:jc w:val="both"/>
        <w:rPr>
          <w:sz w:val="24"/>
          <w:u w:val="single"/>
        </w:rPr>
      </w:pPr>
      <w:r>
        <w:rPr>
          <w:sz w:val="24"/>
          <w:u w:val="single"/>
        </w:rPr>
        <w:t>Employees:</w:t>
      </w:r>
    </w:p>
    <w:p w14:paraId="5583CD1E" w14:textId="77777777" w:rsidR="003E4026" w:rsidRDefault="00E45DCB">
      <w:pPr>
        <w:pStyle w:val="TextBody"/>
        <w:spacing w:line="360" w:lineRule="auto"/>
        <w:jc w:val="both"/>
        <w:rPr>
          <w:sz w:val="24"/>
        </w:rPr>
      </w:pPr>
      <w:r>
        <w:rPr>
          <w:sz w:val="24"/>
        </w:rPr>
        <w:t xml:space="preserve">Employees who would like to participate must fulfil the following </w:t>
      </w:r>
      <w:r>
        <w:rPr>
          <w:b/>
          <w:sz w:val="24"/>
        </w:rPr>
        <w:t>criteria of qualification</w:t>
      </w:r>
      <w:r>
        <w:rPr>
          <w:sz w:val="24"/>
        </w:rPr>
        <w:t>:</w:t>
      </w:r>
    </w:p>
    <w:p w14:paraId="3C60CDB1" w14:textId="77777777" w:rsidR="003E4026" w:rsidRDefault="00E45DCB">
      <w:pPr>
        <w:pStyle w:val="TextBody"/>
        <w:numPr>
          <w:ilvl w:val="0"/>
          <w:numId w:val="2"/>
        </w:numPr>
        <w:suppressAutoHyphens w:val="0"/>
        <w:spacing w:line="360" w:lineRule="auto"/>
        <w:jc w:val="both"/>
        <w:rPr>
          <w:sz w:val="24"/>
        </w:rPr>
      </w:pPr>
      <w:r>
        <w:rPr>
          <w:sz w:val="24"/>
        </w:rPr>
        <w:t>Employee must have at least 5 years of professional work experience (altogether, i.e. counting in also the work experience with previous employers).</w:t>
      </w:r>
    </w:p>
    <w:p w14:paraId="68BFD850" w14:textId="77777777" w:rsidR="003E4026" w:rsidRDefault="00E45DCB">
      <w:pPr>
        <w:pStyle w:val="TextBody"/>
        <w:spacing w:line="360" w:lineRule="auto"/>
        <w:ind w:left="720"/>
        <w:jc w:val="both"/>
        <w:rPr>
          <w:sz w:val="24"/>
        </w:rPr>
      </w:pPr>
      <w:r>
        <w:rPr>
          <w:sz w:val="24"/>
        </w:rPr>
        <w:t>OR</w:t>
      </w:r>
    </w:p>
    <w:p w14:paraId="22DA6D2D" w14:textId="77777777" w:rsidR="003E4026" w:rsidRDefault="00E45DCB">
      <w:pPr>
        <w:pStyle w:val="TextBody"/>
        <w:numPr>
          <w:ilvl w:val="0"/>
          <w:numId w:val="2"/>
        </w:numPr>
        <w:suppressAutoHyphens w:val="0"/>
        <w:spacing w:line="360" w:lineRule="auto"/>
        <w:jc w:val="both"/>
        <w:rPr>
          <w:sz w:val="24"/>
        </w:rPr>
      </w:pPr>
      <w:r>
        <w:rPr>
          <w:sz w:val="24"/>
        </w:rPr>
        <w:t xml:space="preserve">Employee must have at least 3 years of professional work experience (altogether, i.e. counting in also the work experience with previous employers) and a technical high school or a university degree. </w:t>
      </w:r>
    </w:p>
    <w:p w14:paraId="309B1158" w14:textId="77777777" w:rsidR="003E4026" w:rsidRDefault="00E45DCB">
      <w:pPr>
        <w:pStyle w:val="TextBody"/>
        <w:suppressAutoHyphens w:val="0"/>
        <w:spacing w:line="360" w:lineRule="auto"/>
        <w:jc w:val="both"/>
        <w:rPr>
          <w:sz w:val="24"/>
        </w:rPr>
      </w:pPr>
      <w:r>
        <w:rPr>
          <w:sz w:val="24"/>
        </w:rPr>
        <w:t xml:space="preserve">For the project purposes, an employee is a person who works </w:t>
      </w:r>
      <w:r w:rsidR="00F22DCC">
        <w:rPr>
          <w:b/>
          <w:bCs/>
          <w:sz w:val="24"/>
        </w:rPr>
        <w:t>full-time under</w:t>
      </w:r>
      <w:r>
        <w:rPr>
          <w:b/>
          <w:bCs/>
          <w:sz w:val="24"/>
        </w:rPr>
        <w:t xml:space="preserve"> an employment contract of indeterminate duration</w:t>
      </w:r>
      <w:r>
        <w:rPr>
          <w:sz w:val="24"/>
        </w:rPr>
        <w:t xml:space="preserve">. Please note that if the candidate for an exchange is a co-owner or owner of the company, he/she must prove being fully active and present in the company's daily business activities, either in an executive or non-executive (management) position. </w:t>
      </w:r>
      <w:bookmarkStart w:id="4" w:name="__DdeLink__864_794957028"/>
      <w:r>
        <w:rPr>
          <w:sz w:val="24"/>
        </w:rPr>
        <w:t>In case of doubt</w:t>
      </w:r>
      <w:bookmarkEnd w:id="4"/>
      <w:r>
        <w:rPr>
          <w:sz w:val="24"/>
        </w:rPr>
        <w:t>, the fulfilment of such requirement shall be assessed on a case by case basis after taking into account the tasks and respons</w:t>
      </w:r>
      <w:r w:rsidR="00F22DCC">
        <w:rPr>
          <w:sz w:val="24"/>
        </w:rPr>
        <w:t>i</w:t>
      </w:r>
      <w:r>
        <w:rPr>
          <w:sz w:val="24"/>
        </w:rPr>
        <w:t xml:space="preserve">bilities of </w:t>
      </w:r>
      <w:r w:rsidR="009A41E0">
        <w:rPr>
          <w:sz w:val="24"/>
        </w:rPr>
        <w:t xml:space="preserve">their </w:t>
      </w:r>
      <w:r>
        <w:rPr>
          <w:sz w:val="24"/>
        </w:rPr>
        <w:t xml:space="preserve">position.  </w:t>
      </w:r>
    </w:p>
    <w:p w14:paraId="47F52713" w14:textId="77777777" w:rsidR="003E4026" w:rsidRDefault="003E4026">
      <w:pPr>
        <w:pStyle w:val="TextBody"/>
        <w:spacing w:after="0" w:line="276" w:lineRule="auto"/>
        <w:jc w:val="both"/>
        <w:rPr>
          <w:sz w:val="24"/>
        </w:rPr>
      </w:pPr>
    </w:p>
    <w:p w14:paraId="22E8D008" w14:textId="77777777" w:rsidR="003E4026" w:rsidRDefault="00E45DCB">
      <w:pPr>
        <w:pStyle w:val="TextBody"/>
        <w:numPr>
          <w:ilvl w:val="0"/>
          <w:numId w:val="3"/>
        </w:numPr>
        <w:spacing w:after="0"/>
        <w:jc w:val="both"/>
        <w:rPr>
          <w:sz w:val="24"/>
          <w:u w:val="single"/>
        </w:rPr>
      </w:pPr>
      <w:r>
        <w:rPr>
          <w:sz w:val="24"/>
          <w:u w:val="single"/>
        </w:rPr>
        <w:t>Sector:</w:t>
      </w:r>
    </w:p>
    <w:p w14:paraId="58818B5C" w14:textId="77777777" w:rsidR="003E4026" w:rsidRDefault="00E45DCB">
      <w:pPr>
        <w:pStyle w:val="TextBody"/>
        <w:spacing w:line="360" w:lineRule="auto"/>
        <w:jc w:val="both"/>
        <w:rPr>
          <w:sz w:val="24"/>
        </w:rPr>
      </w:pPr>
      <w:r>
        <w:rPr>
          <w:sz w:val="24"/>
        </w:rPr>
        <w:t xml:space="preserve">The test phase is </w:t>
      </w:r>
      <w:r>
        <w:rPr>
          <w:b/>
          <w:sz w:val="24"/>
        </w:rPr>
        <w:t>open to all sectors</w:t>
      </w:r>
      <w:r>
        <w:rPr>
          <w:sz w:val="24"/>
        </w:rPr>
        <w:t>. However, in touristic and agricultural sectors only employees in management position can participate.</w:t>
      </w:r>
    </w:p>
    <w:p w14:paraId="7CCC3B0F" w14:textId="77777777" w:rsidR="003E4026" w:rsidRDefault="00E45DCB">
      <w:pPr>
        <w:suppressAutoHyphens w:val="0"/>
        <w:spacing w:after="0" w:line="360" w:lineRule="auto"/>
        <w:jc w:val="both"/>
        <w:rPr>
          <w:sz w:val="24"/>
          <w:szCs w:val="24"/>
        </w:rPr>
      </w:pPr>
      <w:r>
        <w:rPr>
          <w:b/>
          <w:bCs/>
          <w:sz w:val="24"/>
          <w:szCs w:val="24"/>
        </w:rPr>
        <w:t>Job agencies, HR consultancies</w:t>
      </w:r>
      <w:r>
        <w:rPr>
          <w:sz w:val="24"/>
          <w:szCs w:val="24"/>
        </w:rPr>
        <w:t xml:space="preserve"> and other </w:t>
      </w:r>
      <w:r>
        <w:rPr>
          <w:b/>
          <w:sz w:val="24"/>
          <w:szCs w:val="24"/>
        </w:rPr>
        <w:t>professional intermediary services</w:t>
      </w:r>
      <w:r>
        <w:rPr>
          <w:sz w:val="24"/>
          <w:szCs w:val="24"/>
        </w:rPr>
        <w:t xml:space="preserve"> that deliver work power to third parties are not admitted. Posting of workers is explicitly excluded.</w:t>
      </w:r>
    </w:p>
    <w:p w14:paraId="4202AB34" w14:textId="77777777" w:rsidR="003E4026" w:rsidRDefault="003E4026">
      <w:pPr>
        <w:pStyle w:val="TextBody"/>
        <w:spacing w:after="0" w:line="276" w:lineRule="auto"/>
        <w:jc w:val="both"/>
        <w:rPr>
          <w:sz w:val="24"/>
          <w:u w:val="single"/>
        </w:rPr>
      </w:pPr>
    </w:p>
    <w:p w14:paraId="7B6ED45C" w14:textId="77777777" w:rsidR="003E4026" w:rsidRDefault="00E45DCB">
      <w:pPr>
        <w:pStyle w:val="TextBody"/>
        <w:numPr>
          <w:ilvl w:val="0"/>
          <w:numId w:val="3"/>
        </w:numPr>
        <w:spacing w:after="0"/>
        <w:jc w:val="both"/>
        <w:rPr>
          <w:sz w:val="24"/>
          <w:u w:val="single"/>
        </w:rPr>
      </w:pPr>
      <w:r>
        <w:rPr>
          <w:sz w:val="24"/>
          <w:u w:val="single"/>
        </w:rPr>
        <w:t>Exchanges:</w:t>
      </w:r>
    </w:p>
    <w:p w14:paraId="65D5D1E5" w14:textId="77777777" w:rsidR="003E4026" w:rsidRDefault="00E45DCB">
      <w:pPr>
        <w:pStyle w:val="TextBody"/>
        <w:spacing w:line="360" w:lineRule="auto"/>
        <w:jc w:val="both"/>
        <w:rPr>
          <w:sz w:val="24"/>
        </w:rPr>
      </w:pPr>
      <w:r>
        <w:rPr>
          <w:sz w:val="24"/>
        </w:rPr>
        <w:t xml:space="preserve">Only </w:t>
      </w:r>
      <w:r>
        <w:rPr>
          <w:b/>
          <w:sz w:val="24"/>
        </w:rPr>
        <w:t>cross-border</w:t>
      </w:r>
      <w:r>
        <w:rPr>
          <w:sz w:val="24"/>
        </w:rPr>
        <w:t xml:space="preserve"> exchanges can be accepted, i.e. exchanges even if concerning different regions, departments or states within one country (e.g. in case of federal republics) cannot be accepted. </w:t>
      </w:r>
    </w:p>
    <w:p w14:paraId="56E21D6D" w14:textId="77777777" w:rsidR="003E4026" w:rsidRDefault="00E45DCB">
      <w:pPr>
        <w:pStyle w:val="TextBody"/>
        <w:spacing w:line="360" w:lineRule="auto"/>
        <w:jc w:val="both"/>
        <w:rPr>
          <w:sz w:val="24"/>
        </w:rPr>
      </w:pPr>
      <w:r>
        <w:rPr>
          <w:sz w:val="24"/>
        </w:rPr>
        <w:t>Companies can decide on a symmetrical or asymmetrical exchange. In symmetrical exchange, both companies agree to send and host an employee. On the contrary, an asymmetrical exchange refers to a situation when one company only sends its employee for a training to another company without receiving employee of the other company, and vice versa.</w:t>
      </w:r>
    </w:p>
    <w:p w14:paraId="3B8FB344" w14:textId="77777777" w:rsidR="003E4026" w:rsidRDefault="003E4026">
      <w:pPr>
        <w:pStyle w:val="TextBody"/>
        <w:spacing w:after="0" w:line="276" w:lineRule="auto"/>
        <w:jc w:val="both"/>
        <w:rPr>
          <w:sz w:val="24"/>
        </w:rPr>
      </w:pPr>
    </w:p>
    <w:p w14:paraId="12DD1B49" w14:textId="77777777" w:rsidR="003E4026" w:rsidRDefault="00E45DCB">
      <w:pPr>
        <w:pStyle w:val="TextBody"/>
        <w:numPr>
          <w:ilvl w:val="0"/>
          <w:numId w:val="3"/>
        </w:numPr>
        <w:spacing w:after="0" w:line="360" w:lineRule="auto"/>
        <w:jc w:val="both"/>
        <w:rPr>
          <w:sz w:val="24"/>
          <w:u w:val="single"/>
        </w:rPr>
      </w:pPr>
      <w:r>
        <w:rPr>
          <w:sz w:val="24"/>
          <w:u w:val="single"/>
        </w:rPr>
        <w:t>Duration of exchanges:</w:t>
      </w:r>
    </w:p>
    <w:p w14:paraId="476C825B" w14:textId="77777777" w:rsidR="003E4026" w:rsidRDefault="00E45DCB">
      <w:pPr>
        <w:pStyle w:val="TextBody"/>
        <w:spacing w:after="0" w:line="360" w:lineRule="auto"/>
        <w:jc w:val="both"/>
        <w:rPr>
          <w:sz w:val="24"/>
          <w:szCs w:val="24"/>
        </w:rPr>
      </w:pPr>
      <w:r>
        <w:rPr>
          <w:sz w:val="24"/>
        </w:rPr>
        <w:t xml:space="preserve">Exchanges must be arranged only for: </w:t>
      </w:r>
      <w:r>
        <w:rPr>
          <w:b/>
          <w:sz w:val="24"/>
        </w:rPr>
        <w:t>2 weeks</w:t>
      </w:r>
      <w:r>
        <w:rPr>
          <w:sz w:val="24"/>
        </w:rPr>
        <w:t xml:space="preserve">, </w:t>
      </w:r>
      <w:r>
        <w:rPr>
          <w:b/>
          <w:sz w:val="24"/>
        </w:rPr>
        <w:t>1 month</w:t>
      </w:r>
      <w:r>
        <w:rPr>
          <w:sz w:val="24"/>
        </w:rPr>
        <w:t xml:space="preserve">, </w:t>
      </w:r>
      <w:r>
        <w:rPr>
          <w:b/>
          <w:sz w:val="24"/>
        </w:rPr>
        <w:t>1.5month</w:t>
      </w:r>
      <w:r>
        <w:rPr>
          <w:sz w:val="24"/>
        </w:rPr>
        <w:t xml:space="preserve"> and </w:t>
      </w:r>
      <w:r>
        <w:rPr>
          <w:b/>
          <w:sz w:val="24"/>
        </w:rPr>
        <w:t>2 months</w:t>
      </w:r>
      <w:r>
        <w:rPr>
          <w:sz w:val="24"/>
        </w:rPr>
        <w:t xml:space="preserve">. It is possible to split the exchange into several visits with the limitation that the number of visits does not exceed 4 and the minimum duration of one visit is 1 week, </w:t>
      </w:r>
      <w:r>
        <w:rPr>
          <w:sz w:val="24"/>
          <w:szCs w:val="24"/>
        </w:rPr>
        <w:t>with a min. aggregate duration of 2 weeks.</w:t>
      </w:r>
    </w:p>
    <w:p w14:paraId="28D1B7CC" w14:textId="77777777" w:rsidR="003E4026" w:rsidRDefault="003E4026">
      <w:pPr>
        <w:pStyle w:val="TextBody"/>
        <w:spacing w:after="0" w:line="360" w:lineRule="auto"/>
        <w:jc w:val="both"/>
        <w:rPr>
          <w:sz w:val="24"/>
          <w:u w:val="single"/>
        </w:rPr>
      </w:pPr>
    </w:p>
    <w:p w14:paraId="1084E5AE" w14:textId="77777777" w:rsidR="003E4026" w:rsidRDefault="00E45DCB">
      <w:pPr>
        <w:pStyle w:val="TextBody"/>
        <w:numPr>
          <w:ilvl w:val="0"/>
          <w:numId w:val="3"/>
        </w:numPr>
        <w:spacing w:after="0"/>
        <w:jc w:val="both"/>
        <w:rPr>
          <w:sz w:val="24"/>
          <w:u w:val="single"/>
        </w:rPr>
      </w:pPr>
      <w:r>
        <w:rPr>
          <w:sz w:val="24"/>
          <w:u w:val="single"/>
        </w:rPr>
        <w:t>Additional financial assistance limitation:</w:t>
      </w:r>
    </w:p>
    <w:p w14:paraId="556BEC26" w14:textId="77777777" w:rsidR="003E4026" w:rsidRDefault="00E45DCB">
      <w:pPr>
        <w:pStyle w:val="TextBody"/>
        <w:spacing w:line="360" w:lineRule="auto"/>
        <w:jc w:val="both"/>
        <w:rPr>
          <w:sz w:val="24"/>
        </w:rPr>
      </w:pPr>
      <w:r>
        <w:rPr>
          <w:b/>
          <w:sz w:val="24"/>
        </w:rPr>
        <w:t>Each employee</w:t>
      </w:r>
      <w:r>
        <w:rPr>
          <w:sz w:val="24"/>
        </w:rPr>
        <w:t xml:space="preserve"> can receive </w:t>
      </w:r>
      <w:r>
        <w:rPr>
          <w:b/>
          <w:sz w:val="24"/>
        </w:rPr>
        <w:t>only one funding</w:t>
      </w:r>
      <w:r>
        <w:rPr>
          <w:sz w:val="24"/>
        </w:rPr>
        <w:t xml:space="preserve"> and each sending company can have maximum 2 employees participating in an exchange and receiving funding in the framework of </w:t>
      </w:r>
      <w:proofErr w:type="spellStart"/>
      <w:r>
        <w:rPr>
          <w:sz w:val="24"/>
        </w:rPr>
        <w:t>MobiliseSME</w:t>
      </w:r>
      <w:proofErr w:type="spellEnd"/>
      <w:r>
        <w:rPr>
          <w:sz w:val="24"/>
        </w:rPr>
        <w:t xml:space="preserve"> project. There is no limitation for host companies. </w:t>
      </w:r>
    </w:p>
    <w:p w14:paraId="284F4087" w14:textId="77777777" w:rsidR="003E4026" w:rsidRDefault="003E4026">
      <w:pPr>
        <w:pStyle w:val="TextBody"/>
        <w:spacing w:after="0" w:line="276" w:lineRule="auto"/>
        <w:jc w:val="both"/>
        <w:rPr>
          <w:sz w:val="24"/>
        </w:rPr>
      </w:pPr>
    </w:p>
    <w:p w14:paraId="036B42E7" w14:textId="77777777" w:rsidR="003E4026" w:rsidRDefault="00E45DCB">
      <w:pPr>
        <w:pStyle w:val="TextBody"/>
        <w:numPr>
          <w:ilvl w:val="0"/>
          <w:numId w:val="3"/>
        </w:numPr>
        <w:jc w:val="both"/>
        <w:rPr>
          <w:sz w:val="24"/>
          <w:u w:val="single"/>
        </w:rPr>
      </w:pPr>
      <w:r>
        <w:rPr>
          <w:sz w:val="24"/>
          <w:u w:val="single"/>
        </w:rPr>
        <w:t>Legal implications</w:t>
      </w:r>
    </w:p>
    <w:p w14:paraId="44F252D0" w14:textId="77777777" w:rsidR="003E4026" w:rsidRDefault="00E45DCB">
      <w:pPr>
        <w:pStyle w:val="TextBody"/>
        <w:spacing w:line="360" w:lineRule="auto"/>
        <w:jc w:val="both"/>
        <w:rPr>
          <w:sz w:val="24"/>
        </w:rPr>
      </w:pPr>
      <w:r>
        <w:rPr>
          <w:sz w:val="24"/>
        </w:rPr>
        <w:t xml:space="preserve">Employees participating in the exchange must keep receiving </w:t>
      </w:r>
      <w:r>
        <w:rPr>
          <w:b/>
          <w:sz w:val="24"/>
        </w:rPr>
        <w:t>salaries from their employers</w:t>
      </w:r>
      <w:r>
        <w:rPr>
          <w:sz w:val="24"/>
        </w:rPr>
        <w:t xml:space="preserve"> (the sending company) and cannot be on paid or unpaid leave, sick leave, maternal or parental leave. Furthermore, their employment contract cannot be suspended or temporarily interrupted and employees may not be in the notice period with their current employer.  </w:t>
      </w:r>
    </w:p>
    <w:p w14:paraId="1F5FC690" w14:textId="77777777" w:rsidR="003E4026" w:rsidRDefault="00E45DCB">
      <w:pPr>
        <w:pStyle w:val="TextBody"/>
        <w:spacing w:after="240" w:line="360" w:lineRule="auto"/>
        <w:jc w:val="both"/>
        <w:rPr>
          <w:sz w:val="24"/>
          <w:szCs w:val="24"/>
        </w:rPr>
      </w:pPr>
      <w:r>
        <w:rPr>
          <w:sz w:val="24"/>
        </w:rPr>
        <w:t xml:space="preserve">The host company must ensure that the visit of the employee must be in compliance with their national labour and insurance law. </w:t>
      </w:r>
      <w:r>
        <w:rPr>
          <w:sz w:val="24"/>
          <w:szCs w:val="24"/>
        </w:rPr>
        <w:t xml:space="preserve">The </w:t>
      </w:r>
      <w:proofErr w:type="spellStart"/>
      <w:r>
        <w:rPr>
          <w:sz w:val="24"/>
          <w:szCs w:val="24"/>
        </w:rPr>
        <w:t>MobiliseSME</w:t>
      </w:r>
      <w:proofErr w:type="spellEnd"/>
      <w:r>
        <w:rPr>
          <w:sz w:val="24"/>
          <w:szCs w:val="24"/>
        </w:rPr>
        <w:t xml:space="preserve"> partners do not take over any liability for legal issues.</w:t>
      </w:r>
    </w:p>
    <w:p w14:paraId="3851435A" w14:textId="77777777" w:rsidR="003E4026" w:rsidRDefault="003E4026">
      <w:pPr>
        <w:pStyle w:val="TextBody"/>
        <w:spacing w:after="0"/>
        <w:jc w:val="both"/>
        <w:rPr>
          <w:sz w:val="24"/>
        </w:rPr>
      </w:pPr>
    </w:p>
    <w:p w14:paraId="2091A0A6" w14:textId="77777777" w:rsidR="003E4026" w:rsidRDefault="00E45DCB">
      <w:pPr>
        <w:pStyle w:val="TextBody"/>
        <w:spacing w:after="0"/>
        <w:jc w:val="both"/>
        <w:rPr>
          <w:b/>
          <w:sz w:val="24"/>
        </w:rPr>
      </w:pPr>
      <w:r>
        <w:rPr>
          <w:b/>
          <w:sz w:val="24"/>
        </w:rPr>
        <w:t>In addition, please note that:</w:t>
      </w:r>
    </w:p>
    <w:p w14:paraId="0DCCC8B0" w14:textId="77777777" w:rsidR="003E4026" w:rsidRDefault="00E45DCB">
      <w:pPr>
        <w:pStyle w:val="TextBody"/>
        <w:spacing w:line="360" w:lineRule="auto"/>
        <w:jc w:val="both"/>
        <w:rPr>
          <w:sz w:val="24"/>
        </w:rPr>
      </w:pPr>
      <w:r>
        <w:rPr>
          <w:sz w:val="24"/>
        </w:rPr>
        <w:t>In order to request a financial support for the exchange as agreed by the parties, the employee will need to present the following documents, duly signed and dated:</w:t>
      </w:r>
    </w:p>
    <w:p w14:paraId="043BCD40" w14:textId="77777777" w:rsidR="003E4026" w:rsidRDefault="00E45DCB">
      <w:pPr>
        <w:pStyle w:val="TextBody"/>
        <w:numPr>
          <w:ilvl w:val="0"/>
          <w:numId w:val="2"/>
        </w:numPr>
        <w:spacing w:line="360" w:lineRule="auto"/>
        <w:jc w:val="both"/>
        <w:rPr>
          <w:sz w:val="24"/>
        </w:rPr>
      </w:pPr>
      <w:r>
        <w:rPr>
          <w:sz w:val="24"/>
        </w:rPr>
        <w:t>Tripartite Agreement between the host company, the sending company and the employee.</w:t>
      </w:r>
    </w:p>
    <w:p w14:paraId="053DC467" w14:textId="77777777" w:rsidR="003E4026" w:rsidRDefault="00E45DCB">
      <w:pPr>
        <w:pStyle w:val="TextBody"/>
        <w:numPr>
          <w:ilvl w:val="0"/>
          <w:numId w:val="2"/>
        </w:numPr>
        <w:spacing w:line="360" w:lineRule="auto"/>
        <w:jc w:val="both"/>
        <w:rPr>
          <w:sz w:val="24"/>
        </w:rPr>
      </w:pPr>
      <w:r>
        <w:rPr>
          <w:sz w:val="24"/>
        </w:rPr>
        <w:t>Declaration of Honour (signed by the employee)</w:t>
      </w:r>
    </w:p>
    <w:p w14:paraId="2DA46714" w14:textId="77777777" w:rsidR="003E4026" w:rsidRDefault="00E45DCB">
      <w:pPr>
        <w:pStyle w:val="TextBody"/>
        <w:numPr>
          <w:ilvl w:val="0"/>
          <w:numId w:val="2"/>
        </w:numPr>
        <w:spacing w:line="360" w:lineRule="auto"/>
        <w:jc w:val="both"/>
        <w:rPr>
          <w:sz w:val="24"/>
        </w:rPr>
      </w:pPr>
      <w:r>
        <w:rPr>
          <w:sz w:val="24"/>
        </w:rPr>
        <w:t>SME declaration (signed by the sending company)</w:t>
      </w:r>
    </w:p>
    <w:p w14:paraId="171344EF" w14:textId="77777777" w:rsidR="003E4026" w:rsidRDefault="00E45DCB">
      <w:pPr>
        <w:pStyle w:val="TextBody"/>
        <w:numPr>
          <w:ilvl w:val="0"/>
          <w:numId w:val="2"/>
        </w:numPr>
        <w:spacing w:line="360" w:lineRule="auto"/>
        <w:jc w:val="both"/>
        <w:rPr>
          <w:sz w:val="24"/>
        </w:rPr>
      </w:pPr>
      <w:r>
        <w:rPr>
          <w:sz w:val="24"/>
        </w:rPr>
        <w:t>A copy of his/her ID card</w:t>
      </w:r>
    </w:p>
    <w:p w14:paraId="5948300E" w14:textId="77777777" w:rsidR="003E4026" w:rsidRDefault="00E45DCB">
      <w:pPr>
        <w:pStyle w:val="TextBody"/>
        <w:numPr>
          <w:ilvl w:val="0"/>
          <w:numId w:val="2"/>
        </w:numPr>
        <w:spacing w:line="360" w:lineRule="auto"/>
        <w:jc w:val="both"/>
        <w:rPr>
          <w:sz w:val="24"/>
        </w:rPr>
      </w:pPr>
      <w:r>
        <w:rPr>
          <w:sz w:val="24"/>
        </w:rPr>
        <w:t>CV and the current employment contract (salary or other irrelevant but sensible information may be blacked out)</w:t>
      </w:r>
    </w:p>
    <w:p w14:paraId="416881DF" w14:textId="77777777" w:rsidR="003E4026" w:rsidRDefault="00E45DCB">
      <w:pPr>
        <w:pStyle w:val="TextBody"/>
        <w:spacing w:line="360" w:lineRule="auto"/>
        <w:jc w:val="both"/>
        <w:rPr>
          <w:sz w:val="24"/>
        </w:rPr>
      </w:pPr>
      <w:r>
        <w:rPr>
          <w:sz w:val="24"/>
        </w:rPr>
        <w:t xml:space="preserve">All templates are available on the platform and shall be provided by the National Contact Points of the employee and the sending company once being informed that the respective parties have agreed to perform the exchange. </w:t>
      </w:r>
    </w:p>
    <w:p w14:paraId="614B1A5B" w14:textId="77777777" w:rsidR="003E4026" w:rsidRDefault="00E45DCB">
      <w:pPr>
        <w:pStyle w:val="TextBody"/>
        <w:spacing w:line="360" w:lineRule="auto"/>
        <w:jc w:val="both"/>
        <w:rPr>
          <w:sz w:val="24"/>
        </w:rPr>
      </w:pPr>
      <w:r>
        <w:rPr>
          <w:sz w:val="24"/>
        </w:rPr>
        <w:t xml:space="preserve">As soon as the National Contact Point receives all documents and validates them, the employee and the National Contact Point will sign the Financial Support Agreement. The exact amount of financial support will be established on the duration of the exchange and the country in which the exchange will take place (please see below the Table of Financial Support). </w:t>
      </w:r>
    </w:p>
    <w:p w14:paraId="193F06CD" w14:textId="77777777" w:rsidR="003E4026" w:rsidRDefault="003E4026">
      <w:pPr>
        <w:pStyle w:val="TextBody"/>
        <w:jc w:val="both"/>
        <w:rPr>
          <w:sz w:val="24"/>
        </w:rPr>
      </w:pPr>
    </w:p>
    <w:p w14:paraId="21F4B5F9" w14:textId="77777777" w:rsidR="003E4026" w:rsidRDefault="00E45DCB">
      <w:pPr>
        <w:pStyle w:val="TextBody"/>
        <w:spacing w:after="0"/>
        <w:jc w:val="both"/>
        <w:rPr>
          <w:b/>
          <w:sz w:val="24"/>
        </w:rPr>
      </w:pPr>
      <w:r>
        <w:rPr>
          <w:b/>
          <w:sz w:val="24"/>
        </w:rPr>
        <w:t>IMPORTANT</w:t>
      </w:r>
    </w:p>
    <w:p w14:paraId="43F5E095" w14:textId="77777777" w:rsidR="003E4026" w:rsidRDefault="00E45DCB">
      <w:pPr>
        <w:pStyle w:val="TextBody"/>
        <w:spacing w:line="360" w:lineRule="auto"/>
        <w:jc w:val="both"/>
        <w:rPr>
          <w:sz w:val="24"/>
        </w:rPr>
      </w:pPr>
      <w:r>
        <w:rPr>
          <w:sz w:val="24"/>
        </w:rPr>
        <w:t xml:space="preserve">The test phase of </w:t>
      </w:r>
      <w:proofErr w:type="spellStart"/>
      <w:r>
        <w:rPr>
          <w:sz w:val="24"/>
        </w:rPr>
        <w:t>MobiliseSME</w:t>
      </w:r>
      <w:proofErr w:type="spellEnd"/>
      <w:r>
        <w:rPr>
          <w:sz w:val="24"/>
        </w:rPr>
        <w:t xml:space="preserve"> project will run from November 2016 until March 2017. This means that all exchanges must be performed until the end of March 2017. </w:t>
      </w:r>
    </w:p>
    <w:p w14:paraId="4AB586C6" w14:textId="77777777" w:rsidR="003E4026" w:rsidRDefault="00E45DCB">
      <w:pPr>
        <w:pStyle w:val="TextBody"/>
        <w:spacing w:line="360" w:lineRule="auto"/>
        <w:jc w:val="both"/>
        <w:rPr>
          <w:sz w:val="24"/>
        </w:rPr>
      </w:pPr>
      <w:r>
        <w:rPr>
          <w:sz w:val="24"/>
        </w:rPr>
        <w:t xml:space="preserve">We would like stress that employees who wish to participate are not entitled for a financial support and it is at the sole discretion of the project partners to decide whether the funding will be provided. </w:t>
      </w:r>
    </w:p>
    <w:p w14:paraId="3100412F" w14:textId="77777777" w:rsidR="003E4026" w:rsidRDefault="00E45DCB">
      <w:pPr>
        <w:pStyle w:val="TextBody"/>
        <w:spacing w:line="360" w:lineRule="auto"/>
        <w:jc w:val="both"/>
        <w:rPr>
          <w:sz w:val="24"/>
        </w:rPr>
      </w:pPr>
      <w:r>
        <w:rPr>
          <w:sz w:val="24"/>
        </w:rPr>
        <w:lastRenderedPageBreak/>
        <w:t xml:space="preserve">Nevertheless, we wish to finance as many exchanges as possible to test the scheme. In this regard, the allocated financial resources for exchanges will be distributed on first-come, first-served basis, while respecting the two following conditions: </w:t>
      </w:r>
    </w:p>
    <w:p w14:paraId="71D16716" w14:textId="77777777" w:rsidR="003E4026" w:rsidRDefault="003E4026">
      <w:pPr>
        <w:pStyle w:val="TextBody"/>
        <w:spacing w:line="360" w:lineRule="auto"/>
        <w:jc w:val="both"/>
        <w:rPr>
          <w:sz w:val="24"/>
        </w:rPr>
      </w:pPr>
    </w:p>
    <w:p w14:paraId="096CADFB" w14:textId="77777777" w:rsidR="003E4026" w:rsidRDefault="00E45DCB">
      <w:pPr>
        <w:pStyle w:val="TextBody"/>
        <w:numPr>
          <w:ilvl w:val="0"/>
          <w:numId w:val="5"/>
        </w:numPr>
        <w:spacing w:after="0" w:line="360" w:lineRule="auto"/>
        <w:jc w:val="both"/>
        <w:rPr>
          <w:b/>
          <w:sz w:val="24"/>
        </w:rPr>
      </w:pPr>
      <w:r>
        <w:rPr>
          <w:b/>
          <w:sz w:val="24"/>
        </w:rPr>
        <w:t>Availability</w:t>
      </w:r>
    </w:p>
    <w:p w14:paraId="295B3ABF" w14:textId="77777777" w:rsidR="003E4026" w:rsidRDefault="00E45DCB">
      <w:pPr>
        <w:pStyle w:val="TextBody"/>
        <w:numPr>
          <w:ilvl w:val="0"/>
          <w:numId w:val="6"/>
        </w:numPr>
        <w:spacing w:line="360" w:lineRule="auto"/>
        <w:jc w:val="both"/>
        <w:rPr>
          <w:sz w:val="24"/>
        </w:rPr>
      </w:pPr>
      <w:r>
        <w:rPr>
          <w:sz w:val="24"/>
        </w:rPr>
        <w:t>Once the budget allocated for exchanges is fully used, we cannot provide any more financial support.</w:t>
      </w:r>
    </w:p>
    <w:p w14:paraId="2BE96C95" w14:textId="77777777" w:rsidR="003E4026" w:rsidRDefault="00E45DCB">
      <w:pPr>
        <w:pStyle w:val="TextBody"/>
        <w:spacing w:line="360" w:lineRule="auto"/>
        <w:ind w:firstLine="708"/>
        <w:jc w:val="both"/>
        <w:rPr>
          <w:sz w:val="24"/>
        </w:rPr>
      </w:pPr>
      <w:r>
        <w:rPr>
          <w:sz w:val="24"/>
        </w:rPr>
        <w:t>AND</w:t>
      </w:r>
    </w:p>
    <w:p w14:paraId="34F756A3" w14:textId="77777777" w:rsidR="003E4026" w:rsidRDefault="00E45DCB">
      <w:pPr>
        <w:pStyle w:val="TextBody"/>
        <w:numPr>
          <w:ilvl w:val="0"/>
          <w:numId w:val="5"/>
        </w:numPr>
        <w:spacing w:after="0" w:line="360" w:lineRule="auto"/>
        <w:jc w:val="both"/>
        <w:rPr>
          <w:b/>
          <w:sz w:val="24"/>
        </w:rPr>
      </w:pPr>
      <w:r>
        <w:rPr>
          <w:b/>
          <w:sz w:val="24"/>
        </w:rPr>
        <w:t>Fulfilment of all conditions and criteria</w:t>
      </w:r>
    </w:p>
    <w:p w14:paraId="0FC38223" w14:textId="77777777" w:rsidR="003E4026" w:rsidRDefault="00E45DCB">
      <w:pPr>
        <w:pStyle w:val="TextBody"/>
        <w:numPr>
          <w:ilvl w:val="0"/>
          <w:numId w:val="6"/>
        </w:numPr>
        <w:spacing w:line="360" w:lineRule="auto"/>
        <w:jc w:val="both"/>
        <w:rPr>
          <w:sz w:val="24"/>
        </w:rPr>
      </w:pPr>
      <w:r>
        <w:rPr>
          <w:sz w:val="24"/>
        </w:rPr>
        <w:t xml:space="preserve">All conditions and criteria as described above must be fulfilled and proved when required, including the exchange objective that must be clearly defined in the Tripartite Agreement. We reserve the right to refuse any application that raise doubts about the real purpose of the agreed exchange. </w:t>
      </w:r>
    </w:p>
    <w:p w14:paraId="5A6420CD" w14:textId="77777777" w:rsidR="003E4026" w:rsidRDefault="003E4026">
      <w:pPr>
        <w:suppressAutoHyphens w:val="0"/>
        <w:spacing w:after="0"/>
        <w:rPr>
          <w:sz w:val="24"/>
        </w:rPr>
      </w:pPr>
    </w:p>
    <w:p w14:paraId="4E4B3921" w14:textId="77777777" w:rsidR="003161E9" w:rsidRDefault="003161E9">
      <w:pPr>
        <w:suppressAutoHyphens w:val="0"/>
        <w:spacing w:after="0"/>
        <w:rPr>
          <w:sz w:val="16"/>
          <w:szCs w:val="16"/>
        </w:rPr>
      </w:pPr>
      <w:r>
        <w:rPr>
          <w:sz w:val="16"/>
          <w:szCs w:val="16"/>
        </w:rPr>
        <w:br w:type="page"/>
      </w:r>
    </w:p>
    <w:p w14:paraId="36DB8CF7" w14:textId="77777777" w:rsidR="003161E9" w:rsidRPr="001F0A30" w:rsidRDefault="003161E9" w:rsidP="003161E9">
      <w:pPr>
        <w:spacing w:after="0" w:line="240" w:lineRule="auto"/>
        <w:jc w:val="both"/>
        <w:rPr>
          <w:sz w:val="16"/>
          <w:szCs w:val="16"/>
        </w:rPr>
      </w:pPr>
    </w:p>
    <w:p w14:paraId="1FBBC1BD" w14:textId="77777777" w:rsidR="003161E9" w:rsidRPr="005224DB" w:rsidRDefault="003161E9" w:rsidP="003161E9">
      <w:pPr>
        <w:suppressAutoHyphens w:val="0"/>
        <w:autoSpaceDE w:val="0"/>
        <w:autoSpaceDN w:val="0"/>
        <w:adjustRightInd w:val="0"/>
        <w:spacing w:after="120" w:line="240" w:lineRule="auto"/>
        <w:ind w:left="360"/>
        <w:contextualSpacing/>
        <w:jc w:val="center"/>
        <w:rPr>
          <w:rFonts w:eastAsia="Times New Roman" w:cs="Calibri"/>
          <w:b/>
          <w:bCs/>
          <w:kern w:val="1"/>
          <w:sz w:val="10"/>
          <w:szCs w:val="10"/>
        </w:rPr>
      </w:pPr>
    </w:p>
    <w:p w14:paraId="0104399E" w14:textId="77777777" w:rsidR="003161E9" w:rsidRPr="009B1B8D" w:rsidRDefault="003161E9" w:rsidP="003161E9">
      <w:pPr>
        <w:suppressAutoHyphens w:val="0"/>
        <w:autoSpaceDE w:val="0"/>
        <w:autoSpaceDN w:val="0"/>
        <w:adjustRightInd w:val="0"/>
        <w:spacing w:after="120" w:line="240" w:lineRule="auto"/>
        <w:ind w:left="360"/>
        <w:contextualSpacing/>
        <w:jc w:val="center"/>
        <w:rPr>
          <w:rFonts w:eastAsia="Times New Roman" w:cs="Calibri"/>
          <w:kern w:val="1"/>
        </w:rPr>
      </w:pPr>
      <w:r w:rsidRPr="009B1B8D">
        <w:rPr>
          <w:rFonts w:eastAsia="Times New Roman" w:cs="Calibri"/>
          <w:b/>
          <w:bCs/>
          <w:kern w:val="1"/>
          <w:sz w:val="26"/>
          <w:szCs w:val="26"/>
        </w:rPr>
        <w:t>Table of Financial Support</w:t>
      </w:r>
    </w:p>
    <w:p w14:paraId="1A232097" w14:textId="77777777" w:rsidR="003161E9" w:rsidRPr="005224DB" w:rsidRDefault="003161E9" w:rsidP="003161E9">
      <w:pPr>
        <w:suppressAutoHyphens w:val="0"/>
        <w:autoSpaceDE w:val="0"/>
        <w:autoSpaceDN w:val="0"/>
        <w:adjustRightInd w:val="0"/>
        <w:spacing w:after="0" w:line="240" w:lineRule="auto"/>
        <w:ind w:left="357"/>
        <w:contextualSpacing/>
        <w:jc w:val="center"/>
        <w:rPr>
          <w:rFonts w:eastAsia="Times New Roman"/>
          <w:b/>
          <w:kern w:val="1"/>
          <w:sz w:val="10"/>
          <w:szCs w:val="10"/>
        </w:rPr>
      </w:pPr>
    </w:p>
    <w:tbl>
      <w:tblPr>
        <w:tblW w:w="0" w:type="auto"/>
        <w:tblInd w:w="-108" w:type="dxa"/>
        <w:tblLayout w:type="fixed"/>
        <w:tblCellMar>
          <w:left w:w="0" w:type="dxa"/>
          <w:right w:w="0" w:type="dxa"/>
        </w:tblCellMar>
        <w:tblLook w:val="0000" w:firstRow="0" w:lastRow="0" w:firstColumn="0" w:lastColumn="0" w:noHBand="0" w:noVBand="0"/>
      </w:tblPr>
      <w:tblGrid>
        <w:gridCol w:w="4093"/>
        <w:gridCol w:w="1385"/>
        <w:gridCol w:w="1385"/>
        <w:gridCol w:w="1385"/>
        <w:gridCol w:w="1390"/>
      </w:tblGrid>
      <w:tr w:rsidR="003161E9" w:rsidRPr="009B1B8D" w14:paraId="0DFC4B9E" w14:textId="77777777" w:rsidTr="008B210E">
        <w:tc>
          <w:tcPr>
            <w:tcW w:w="9638" w:type="dxa"/>
            <w:gridSpan w:val="5"/>
            <w:tcBorders>
              <w:top w:val="single" w:sz="4" w:space="0" w:color="17365D"/>
              <w:left w:val="single" w:sz="4" w:space="0" w:color="17365D"/>
              <w:bottom w:val="single" w:sz="4" w:space="0" w:color="17365D"/>
              <w:right w:val="single" w:sz="4" w:space="0" w:color="17365D"/>
            </w:tcBorders>
            <w:shd w:val="clear" w:color="auto" w:fill="365F91"/>
          </w:tcPr>
          <w:p w14:paraId="50A6118E" w14:textId="77777777" w:rsidR="003161E9" w:rsidRPr="009B1B8D" w:rsidRDefault="003161E9" w:rsidP="008B210E">
            <w:pPr>
              <w:suppressAutoHyphens w:val="0"/>
              <w:autoSpaceDE w:val="0"/>
              <w:autoSpaceDN w:val="0"/>
              <w:adjustRightInd w:val="0"/>
              <w:spacing w:after="0"/>
              <w:rPr>
                <w:rFonts w:eastAsia="Times New Roman"/>
                <w:kern w:val="1"/>
                <w:szCs w:val="24"/>
              </w:rPr>
            </w:pPr>
            <w:r w:rsidRPr="009B1B8D">
              <w:rPr>
                <w:rFonts w:eastAsia="Times New Roman"/>
                <w:kern w:val="1"/>
                <w:sz w:val="26"/>
                <w:szCs w:val="24"/>
              </w:rPr>
              <w:t xml:space="preserve">Monthly financial support: </w:t>
            </w:r>
            <w:r w:rsidRPr="009B1B8D">
              <w:rPr>
                <w:rFonts w:eastAsia="Times New Roman"/>
                <w:kern w:val="1"/>
                <w:sz w:val="24"/>
                <w:szCs w:val="24"/>
              </w:rPr>
              <w:t>Maximum amount per period while staying in this country (in €)</w:t>
            </w:r>
          </w:p>
        </w:tc>
      </w:tr>
      <w:tr w:rsidR="003161E9" w:rsidRPr="009B1B8D" w14:paraId="0B000ABB" w14:textId="77777777" w:rsidTr="008B210E">
        <w:trPr>
          <w:trHeight w:val="642"/>
        </w:trPr>
        <w:tc>
          <w:tcPr>
            <w:tcW w:w="4093" w:type="dxa"/>
            <w:tcBorders>
              <w:top w:val="single" w:sz="4" w:space="0" w:color="17365D"/>
              <w:left w:val="single" w:sz="4" w:space="0" w:color="17365D"/>
              <w:bottom w:val="single" w:sz="4" w:space="0" w:color="17365D"/>
              <w:right w:val="single" w:sz="4" w:space="0" w:color="17365D"/>
            </w:tcBorders>
            <w:shd w:val="clear" w:color="auto" w:fill="B8CCE4"/>
          </w:tcPr>
          <w:p w14:paraId="22EDB215"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 w:val="24"/>
                <w:szCs w:val="24"/>
              </w:rPr>
              <w:t>Country of stay</w:t>
            </w:r>
          </w:p>
        </w:tc>
        <w:tc>
          <w:tcPr>
            <w:tcW w:w="1385" w:type="dxa"/>
            <w:tcBorders>
              <w:top w:val="single" w:sz="4" w:space="0" w:color="17365D"/>
              <w:left w:val="single" w:sz="4" w:space="0" w:color="17365D"/>
              <w:bottom w:val="single" w:sz="4" w:space="0" w:color="17365D"/>
              <w:right w:val="single" w:sz="4" w:space="0" w:color="17365D"/>
            </w:tcBorders>
            <w:shd w:val="clear" w:color="auto" w:fill="B8CCE4"/>
          </w:tcPr>
          <w:p w14:paraId="13D5A6A0"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 w:val="24"/>
                <w:szCs w:val="24"/>
              </w:rPr>
              <w:t>2 weeks</w:t>
            </w:r>
          </w:p>
        </w:tc>
        <w:tc>
          <w:tcPr>
            <w:tcW w:w="1385" w:type="dxa"/>
            <w:tcBorders>
              <w:top w:val="single" w:sz="4" w:space="0" w:color="17365D"/>
              <w:left w:val="single" w:sz="4" w:space="0" w:color="17365D"/>
              <w:bottom w:val="single" w:sz="4" w:space="0" w:color="17365D"/>
              <w:right w:val="single" w:sz="4" w:space="0" w:color="17365D"/>
            </w:tcBorders>
            <w:shd w:val="clear" w:color="auto" w:fill="B8CCE4"/>
            <w:tcMar>
              <w:left w:w="108" w:type="dxa"/>
            </w:tcMar>
          </w:tcPr>
          <w:p w14:paraId="0665F72F" w14:textId="77777777" w:rsidR="003161E9" w:rsidRDefault="003161E9" w:rsidP="008B210E">
            <w:pPr>
              <w:suppressAutoHyphens w:val="0"/>
              <w:autoSpaceDE w:val="0"/>
              <w:autoSpaceDN w:val="0"/>
              <w:adjustRightInd w:val="0"/>
              <w:spacing w:after="0" w:line="240" w:lineRule="auto"/>
              <w:rPr>
                <w:rFonts w:eastAsia="Times New Roman"/>
                <w:kern w:val="1"/>
                <w:sz w:val="24"/>
                <w:szCs w:val="24"/>
              </w:rPr>
            </w:pPr>
            <w:r w:rsidRPr="009B1B8D">
              <w:rPr>
                <w:rFonts w:eastAsia="Times New Roman"/>
                <w:kern w:val="1"/>
                <w:sz w:val="24"/>
                <w:szCs w:val="24"/>
              </w:rPr>
              <w:t xml:space="preserve">4 weeks /  </w:t>
            </w:r>
          </w:p>
          <w:p w14:paraId="10C87C40"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 w:val="24"/>
                <w:szCs w:val="24"/>
              </w:rPr>
              <w:t>1 month</w:t>
            </w:r>
          </w:p>
        </w:tc>
        <w:tc>
          <w:tcPr>
            <w:tcW w:w="1385" w:type="dxa"/>
            <w:tcBorders>
              <w:top w:val="single" w:sz="4" w:space="0" w:color="17365D"/>
              <w:left w:val="single" w:sz="4" w:space="0" w:color="17365D"/>
              <w:bottom w:val="single" w:sz="4" w:space="0" w:color="17365D"/>
              <w:right w:val="single" w:sz="4" w:space="0" w:color="17365D"/>
            </w:tcBorders>
            <w:shd w:val="clear" w:color="auto" w:fill="B8CCE4"/>
            <w:tcMar>
              <w:left w:w="108" w:type="dxa"/>
            </w:tcMar>
          </w:tcPr>
          <w:p w14:paraId="7653633C"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 w:val="24"/>
                <w:szCs w:val="24"/>
              </w:rPr>
              <w:t>6 weeks / 1,5 months</w:t>
            </w:r>
          </w:p>
        </w:tc>
        <w:tc>
          <w:tcPr>
            <w:tcW w:w="1390" w:type="dxa"/>
            <w:tcBorders>
              <w:top w:val="single" w:sz="4" w:space="0" w:color="17365D"/>
              <w:left w:val="single" w:sz="4" w:space="0" w:color="17365D"/>
              <w:bottom w:val="single" w:sz="4" w:space="0" w:color="17365D"/>
              <w:right w:val="single" w:sz="4" w:space="0" w:color="17365D"/>
            </w:tcBorders>
            <w:shd w:val="clear" w:color="auto" w:fill="B8CCE4"/>
            <w:tcMar>
              <w:left w:w="108" w:type="dxa"/>
            </w:tcMar>
          </w:tcPr>
          <w:p w14:paraId="7812F9A4"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 w:val="24"/>
                <w:szCs w:val="24"/>
              </w:rPr>
              <w:t>8 weeks /  2 months</w:t>
            </w:r>
          </w:p>
        </w:tc>
      </w:tr>
      <w:tr w:rsidR="003161E9" w:rsidRPr="009B1B8D" w14:paraId="7E65EA70" w14:textId="77777777" w:rsidTr="008B210E">
        <w:trPr>
          <w:trHeight w:val="292"/>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1BA86F0B"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Albania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27B8BAEF"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567</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4E836A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756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B8621C7"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1.008</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3CA994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1.260</w:t>
            </w:r>
          </w:p>
        </w:tc>
      </w:tr>
      <w:tr w:rsidR="003161E9" w:rsidRPr="009B1B8D" w14:paraId="04672EDF"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26DFC1C0"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Austria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7118AE5A"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972</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AE5971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1.296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4E2833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1.728</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0D05C0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2.160</w:t>
            </w:r>
          </w:p>
        </w:tc>
      </w:tr>
      <w:tr w:rsidR="003161E9" w:rsidRPr="009B1B8D" w14:paraId="55C3ED40"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057DC8A7"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Belgium</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45876584"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64E514A"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5918A01"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1.600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B68279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2.000</w:t>
            </w:r>
          </w:p>
        </w:tc>
      </w:tr>
      <w:tr w:rsidR="003161E9" w:rsidRPr="009B1B8D" w14:paraId="1671AA23"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587193D4"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Bulgaria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1841153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603</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3D7B9B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804</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5FCA06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1.072</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7A2AA7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1.340</w:t>
            </w:r>
          </w:p>
        </w:tc>
      </w:tr>
      <w:tr w:rsidR="003161E9" w:rsidRPr="009B1B8D" w14:paraId="614A42CF"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2198C893"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Czech Republic</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7D536A4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657</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421B69C"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876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C673FC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1.168</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006D5F1"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1.460</w:t>
            </w:r>
          </w:p>
        </w:tc>
      </w:tr>
      <w:tr w:rsidR="003161E9" w:rsidRPr="009B1B8D" w14:paraId="2A15779F"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78F1EB3E"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Croatia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73DAA6E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774</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640DB3C"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1.032</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1274A04"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1.376</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B4F3E4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1.720</w:t>
            </w:r>
          </w:p>
        </w:tc>
      </w:tr>
      <w:tr w:rsidR="003161E9" w:rsidRPr="009B1B8D" w14:paraId="5FDE3525"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149AE768"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Cyprus</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15AC2FB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846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9AE418A"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1.128</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D15135C"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1.504</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C94B486"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1.880</w:t>
            </w:r>
          </w:p>
        </w:tc>
      </w:tr>
      <w:tr w:rsidR="003161E9" w:rsidRPr="009B1B8D" w14:paraId="0EE7EAB1"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6AA9BCAF"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Denmark</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0CB8632A"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1.170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8C0F0B7"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1.560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CDF67A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2.080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619792CF"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2.600</w:t>
            </w:r>
          </w:p>
        </w:tc>
      </w:tr>
      <w:tr w:rsidR="003161E9" w:rsidRPr="009B1B8D" w14:paraId="2F17BDD3"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72233375"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 xml:space="preserve">Germany </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4B7A015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2917D5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281F7DA"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1.600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F0E351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2.000</w:t>
            </w:r>
          </w:p>
        </w:tc>
      </w:tr>
      <w:tr w:rsidR="003161E9" w:rsidRPr="009B1B8D" w14:paraId="226D9660"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3CDA14E7"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Estonia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1560C62D"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720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C9F612C"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960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95FB0FF"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1.280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716029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1.600</w:t>
            </w:r>
          </w:p>
        </w:tc>
      </w:tr>
      <w:tr w:rsidR="003161E9" w:rsidRPr="009B1B8D" w14:paraId="76674D12"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612E93C0"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France</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52E71367"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972</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5E02A6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1.296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3C7EFBD"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1.728</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844E73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2.160</w:t>
            </w:r>
          </w:p>
        </w:tc>
      </w:tr>
      <w:tr w:rsidR="003161E9" w:rsidRPr="009B1B8D" w14:paraId="2ACE5949"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7404A3CC"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Finland</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710CB77A"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1.026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FE7B29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1.368</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6BB1AA7"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1.824</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2FA63A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2.280</w:t>
            </w:r>
          </w:p>
        </w:tc>
      </w:tr>
      <w:tr w:rsidR="003161E9" w:rsidRPr="009B1B8D" w14:paraId="5FF4BF75"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494407E8"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F.Y.R.O.M</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51F0269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603</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504A056"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804</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D87A8EF"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1.072</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8689A4F"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1.340</w:t>
            </w:r>
          </w:p>
        </w:tc>
      </w:tr>
      <w:tr w:rsidR="003161E9" w:rsidRPr="009B1B8D" w14:paraId="16290654"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4B61E7F6"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Greece</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060C96E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846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C05907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1.128</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6C8393FF"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1.504</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ED1800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1.880</w:t>
            </w:r>
          </w:p>
        </w:tc>
      </w:tr>
      <w:tr w:rsidR="003161E9" w:rsidRPr="009B1B8D" w14:paraId="640D61CD"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3EE47512"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Iceland</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5D6C01FD"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972</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395279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1.296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C1BCBA7"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1.728</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160A7AD"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2.160</w:t>
            </w:r>
          </w:p>
        </w:tc>
      </w:tr>
      <w:tr w:rsidR="003161E9" w:rsidRPr="009B1B8D" w14:paraId="440F51E4"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706DDA06"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Ireland</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41520F3E"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1.080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41F8921"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1.440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8DC7507"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1.920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C8276A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2.400</w:t>
            </w:r>
          </w:p>
        </w:tc>
      </w:tr>
      <w:tr w:rsidR="003161E9" w:rsidRPr="009B1B8D" w14:paraId="1207B2C3"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1AC57484"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Italy</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2413B9E1"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972</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3CEC2FC"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1.296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E1AF3A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1.728</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B01E05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2.160</w:t>
            </w:r>
          </w:p>
        </w:tc>
      </w:tr>
      <w:tr w:rsidR="003161E9" w:rsidRPr="009B1B8D" w14:paraId="2222D420"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4C6197D0"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Latvia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5709F083"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657</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35CA54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876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43DB73E"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1.168</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EAB713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1.460</w:t>
            </w:r>
          </w:p>
        </w:tc>
      </w:tr>
      <w:tr w:rsidR="003161E9" w:rsidRPr="009B1B8D" w14:paraId="39F9DA7B"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2D30893F"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Lithuania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3A0E0383"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603</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6A9995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804</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36BCBB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1.072</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973C93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1.340</w:t>
            </w:r>
          </w:p>
        </w:tc>
      </w:tr>
      <w:tr w:rsidR="003161E9" w:rsidRPr="009B1B8D" w14:paraId="57286047"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413F6252"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 xml:space="preserve">Liechtenstein </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37ABC22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1.170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3431366"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1.560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F4C1EB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2.080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64383E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2.600</w:t>
            </w:r>
          </w:p>
        </w:tc>
      </w:tr>
      <w:tr w:rsidR="003161E9" w:rsidRPr="009B1B8D" w14:paraId="15B4C165"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43026D71"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 xml:space="preserve">Luxembourg </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4F2D663C"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BB7F20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ACBBA8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1.600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4C070D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2.000</w:t>
            </w:r>
          </w:p>
        </w:tc>
      </w:tr>
      <w:tr w:rsidR="003161E9" w:rsidRPr="009B1B8D" w14:paraId="25BDCAED"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526BED79"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Hungary</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1182142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720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64AC8F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960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E0BC40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1.280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646C31C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1.600</w:t>
            </w:r>
          </w:p>
        </w:tc>
      </w:tr>
      <w:tr w:rsidR="003161E9" w:rsidRPr="009B1B8D" w14:paraId="510D5574"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7D1EABB4"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Malta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1CAE0EC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774</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C79C1D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1.032</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60DE48A"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1.376</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E056C0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1.720</w:t>
            </w:r>
          </w:p>
        </w:tc>
      </w:tr>
      <w:tr w:rsidR="003161E9" w:rsidRPr="009B1B8D" w14:paraId="145D1D61"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07941CFC"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Montenegro</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58289AD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603</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8C99CF3"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804</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996E48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1.072</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CC8F49F"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1.340</w:t>
            </w:r>
          </w:p>
        </w:tc>
      </w:tr>
      <w:tr w:rsidR="003161E9" w:rsidRPr="009B1B8D" w14:paraId="7CBFF4A0"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533CCCC2"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Netherlands</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5E8802FE"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2E7C64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0AE833C"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1.600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1ED6EC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2.000</w:t>
            </w:r>
          </w:p>
        </w:tc>
      </w:tr>
      <w:tr w:rsidR="003161E9" w:rsidRPr="009B1B8D" w14:paraId="441B0F32"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6B1895A2"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 xml:space="preserve">Norway </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29315D44"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1.170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65D3C574"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1.560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84AE57C"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2.080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C528091"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2.600</w:t>
            </w:r>
          </w:p>
        </w:tc>
      </w:tr>
      <w:tr w:rsidR="003161E9" w:rsidRPr="009B1B8D" w14:paraId="08F609CA"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5D22C6CE"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Poland</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1A31BE4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657</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15D83C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876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B956F43"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1.168</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EDA54DA"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1.460</w:t>
            </w:r>
          </w:p>
        </w:tc>
      </w:tr>
      <w:tr w:rsidR="003161E9" w:rsidRPr="009B1B8D" w14:paraId="1FADBBAC"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61E22EA5"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Portugal</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3D246CD9"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846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97092CE"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1.128</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EBCB7BD"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1.504</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8E18B67"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1.880</w:t>
            </w:r>
          </w:p>
        </w:tc>
      </w:tr>
      <w:tr w:rsidR="003161E9" w:rsidRPr="009B1B8D" w14:paraId="532D1CBE"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67057360"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Romania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5728051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603</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55712D3"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804</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687A0496"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1.072</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C0EE9D3"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1.340</w:t>
            </w:r>
          </w:p>
        </w:tc>
      </w:tr>
      <w:tr w:rsidR="003161E9" w:rsidRPr="009B1B8D" w14:paraId="5ED7C801"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04B47DBE"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 xml:space="preserve">Serbia </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1B4897E6"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603</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AF81D0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804</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B7EAAE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1.072</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56E2D97"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1.340</w:t>
            </w:r>
          </w:p>
        </w:tc>
      </w:tr>
      <w:tr w:rsidR="003161E9" w:rsidRPr="009B1B8D" w14:paraId="1DBC3C89"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1720B983"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Slovenia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5D79A6B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774</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1EFC8E73"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1.032</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9F18374"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1.376</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14CE364"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1.720</w:t>
            </w:r>
          </w:p>
        </w:tc>
      </w:tr>
      <w:tr w:rsidR="003161E9" w:rsidRPr="009B1B8D" w14:paraId="0DCEB2F1"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596B1901"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Slovakia</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7CAB0EE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657</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967C86D"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876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D80D80A"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1.168</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2ECB453"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1.460</w:t>
            </w:r>
          </w:p>
        </w:tc>
      </w:tr>
      <w:tr w:rsidR="003161E9" w:rsidRPr="009B1B8D" w14:paraId="573CC406"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4DB37269"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Spain</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7838FC16"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900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D2BBEF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1.200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2491391"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1.600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88090B8"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2.000</w:t>
            </w:r>
          </w:p>
        </w:tc>
      </w:tr>
      <w:tr w:rsidR="003161E9" w:rsidRPr="009B1B8D" w14:paraId="22EF1458"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51390A92"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Sweden</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14576E9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1.026</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93956E3"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1.368</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7C734B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1.824</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03EC3ED"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2.280</w:t>
            </w:r>
          </w:p>
        </w:tc>
      </w:tr>
      <w:tr w:rsidR="003161E9" w:rsidRPr="009B1B8D" w14:paraId="0C9FB07F"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48EC451E"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Turkey</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2B245EE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810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D587C16"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1.080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369D2120"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1.440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50C86E4"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1.800</w:t>
            </w:r>
          </w:p>
        </w:tc>
      </w:tr>
      <w:tr w:rsidR="003161E9" w:rsidRPr="009B1B8D" w14:paraId="4E13A677"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6542BF8B"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United Kingdom</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4CBB154E"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1.080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402D3B0F"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1.440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223F939B"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1.920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7C0E5D06"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2.400</w:t>
            </w:r>
          </w:p>
        </w:tc>
      </w:tr>
      <w:tr w:rsidR="003161E9" w:rsidRPr="009B1B8D" w14:paraId="49837670" w14:textId="77777777" w:rsidTr="008B210E">
        <w:trPr>
          <w:trHeight w:val="20"/>
        </w:trPr>
        <w:tc>
          <w:tcPr>
            <w:tcW w:w="4093" w:type="dxa"/>
            <w:tcBorders>
              <w:top w:val="single" w:sz="4" w:space="0" w:color="17365D"/>
              <w:left w:val="single" w:sz="4" w:space="0" w:color="17365D"/>
              <w:bottom w:val="single" w:sz="4" w:space="0" w:color="17365D"/>
              <w:right w:val="single" w:sz="4" w:space="0" w:color="17365D"/>
            </w:tcBorders>
            <w:shd w:val="clear" w:color="auto" w:fill="FFFFFF"/>
          </w:tcPr>
          <w:p w14:paraId="62E603A9" w14:textId="77777777" w:rsidR="003161E9" w:rsidRPr="009B1B8D" w:rsidRDefault="003161E9" w:rsidP="008B210E">
            <w:pPr>
              <w:suppressAutoHyphens w:val="0"/>
              <w:autoSpaceDE w:val="0"/>
              <w:autoSpaceDN w:val="0"/>
              <w:adjustRightInd w:val="0"/>
              <w:spacing w:after="0" w:line="240" w:lineRule="auto"/>
              <w:rPr>
                <w:rFonts w:eastAsia="Times New Roman"/>
                <w:kern w:val="1"/>
                <w:szCs w:val="24"/>
              </w:rPr>
            </w:pPr>
            <w:r w:rsidRPr="009B1B8D">
              <w:rPr>
                <w:rFonts w:eastAsia="Times New Roman"/>
                <w:kern w:val="1"/>
                <w:szCs w:val="24"/>
              </w:rPr>
              <w:t xml:space="preserve">Outermost Regions (EU) </w:t>
            </w:r>
          </w:p>
        </w:tc>
        <w:tc>
          <w:tcPr>
            <w:tcW w:w="1385" w:type="dxa"/>
            <w:tcBorders>
              <w:top w:val="single" w:sz="4" w:space="0" w:color="17365D"/>
              <w:left w:val="single" w:sz="4" w:space="0" w:color="17365D"/>
              <w:bottom w:val="single" w:sz="4" w:space="0" w:color="17365D"/>
              <w:right w:val="single" w:sz="4" w:space="0" w:color="17365D"/>
            </w:tcBorders>
            <w:shd w:val="clear" w:color="auto" w:fill="FFFFFF"/>
            <w:vAlign w:val="center"/>
          </w:tcPr>
          <w:p w14:paraId="2D2761D5"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1.170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5AE0F062"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1.560</w:t>
            </w:r>
          </w:p>
        </w:tc>
        <w:tc>
          <w:tcPr>
            <w:tcW w:w="1385"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272CECD"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2.080</w:t>
            </w:r>
          </w:p>
        </w:tc>
        <w:tc>
          <w:tcPr>
            <w:tcW w:w="1390" w:type="dxa"/>
            <w:tcBorders>
              <w:top w:val="single" w:sz="4" w:space="0" w:color="17365D"/>
              <w:left w:val="single" w:sz="4" w:space="0" w:color="17365D"/>
              <w:bottom w:val="single" w:sz="4" w:space="0" w:color="17365D"/>
              <w:right w:val="single" w:sz="4" w:space="0" w:color="17365D"/>
            </w:tcBorders>
            <w:shd w:val="clear" w:color="auto" w:fill="FFFFFF"/>
            <w:tcMar>
              <w:left w:w="108" w:type="dxa"/>
            </w:tcMar>
            <w:vAlign w:val="center"/>
          </w:tcPr>
          <w:p w14:paraId="097430DE" w14:textId="77777777" w:rsidR="003161E9" w:rsidRPr="009B1B8D" w:rsidRDefault="003161E9" w:rsidP="008B210E">
            <w:pPr>
              <w:suppressAutoHyphens w:val="0"/>
              <w:autoSpaceDE w:val="0"/>
              <w:autoSpaceDN w:val="0"/>
              <w:adjustRightInd w:val="0"/>
              <w:spacing w:after="0" w:line="240" w:lineRule="auto"/>
              <w:ind w:right="126"/>
              <w:jc w:val="right"/>
              <w:rPr>
                <w:rFonts w:eastAsia="Times New Roman"/>
                <w:kern w:val="1"/>
                <w:szCs w:val="24"/>
              </w:rPr>
            </w:pPr>
            <w:r>
              <w:rPr>
                <w:rFonts w:eastAsia="Times New Roman"/>
                <w:color w:val="000000"/>
                <w:kern w:val="2"/>
              </w:rPr>
              <w:t>2.600</w:t>
            </w:r>
          </w:p>
        </w:tc>
      </w:tr>
    </w:tbl>
    <w:p w14:paraId="53638397" w14:textId="77777777" w:rsidR="00E45DCB" w:rsidRDefault="00E45DCB" w:rsidP="003161E9"/>
    <w:sectPr w:rsidR="00E45DCB">
      <w:type w:val="continuous"/>
      <w:pgSz w:w="11906" w:h="16838"/>
      <w:pgMar w:top="1417" w:right="1134" w:bottom="1134" w:left="1134" w:header="708" w:footer="113"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1736B" w14:textId="77777777" w:rsidR="00685529" w:rsidRDefault="00685529">
      <w:pPr>
        <w:spacing w:after="0" w:line="240" w:lineRule="auto"/>
      </w:pPr>
      <w:r>
        <w:separator/>
      </w:r>
    </w:p>
  </w:endnote>
  <w:endnote w:type="continuationSeparator" w:id="0">
    <w:p w14:paraId="1943207C" w14:textId="77777777" w:rsidR="00685529" w:rsidRDefault="0068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Calibri">
    <w:panose1 w:val="020F0502020204030204"/>
    <w:charset w:val="00"/>
    <w:family w:val="swiss"/>
    <w:pitch w:val="variable"/>
    <w:sig w:usb0="E00002FF" w:usb1="4000ACFF" w:usb2="00000001" w:usb3="00000000" w:csb0="0000019F" w:csb1="00000000"/>
  </w:font>
  <w:font w:name="Droid Sans Fallback">
    <w:altName w:val="Arial Unicode MS"/>
    <w:charset w:val="80"/>
    <w:family w:val="swiss"/>
    <w:pitch w:val="variable"/>
    <w:sig w:usb0="B1002AFF" w:usb1="2BDFFCFB" w:usb2="00000036"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FreeSans">
    <w:charset w:val="00"/>
    <w:family w:val="swiss"/>
    <w:pitch w:val="variable"/>
    <w:sig w:usb0="E4838EFF" w:usb1="4200FDFF" w:usb2="000030A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58E17" w14:textId="77777777" w:rsidR="003E4026" w:rsidRPr="003161E9" w:rsidRDefault="003E4026">
    <w:pPr>
      <w:spacing w:after="0" w:line="240" w:lineRule="auto"/>
      <w:rPr>
        <w:rFonts w:cs="Cambria"/>
        <w:sz w:val="16"/>
        <w:szCs w:val="16"/>
      </w:rPr>
    </w:pPr>
  </w:p>
  <w:tbl>
    <w:tblPr>
      <w:tblW w:w="0" w:type="auto"/>
      <w:tblBorders>
        <w:top w:val="nil"/>
        <w:left w:val="nil"/>
        <w:bottom w:val="nil"/>
        <w:right w:val="nil"/>
        <w:insideH w:val="nil"/>
        <w:insideV w:val="nil"/>
      </w:tblBorders>
      <w:tblLook w:val="04A0" w:firstRow="1" w:lastRow="0" w:firstColumn="1" w:lastColumn="0" w:noHBand="0" w:noVBand="1"/>
    </w:tblPr>
    <w:tblGrid>
      <w:gridCol w:w="2257"/>
      <w:gridCol w:w="7597"/>
    </w:tblGrid>
    <w:tr w:rsidR="003E4026" w14:paraId="6DB4D489" w14:textId="77777777">
      <w:tc>
        <w:tcPr>
          <w:tcW w:w="2321" w:type="dxa"/>
          <w:tcBorders>
            <w:top w:val="nil"/>
            <w:left w:val="nil"/>
            <w:bottom w:val="nil"/>
            <w:right w:val="nil"/>
          </w:tcBorders>
          <w:shd w:val="clear" w:color="auto" w:fill="FFFFFF"/>
        </w:tcPr>
        <w:p w14:paraId="2D5916F2" w14:textId="77777777" w:rsidR="003E4026" w:rsidRDefault="003E4026">
          <w:pPr>
            <w:tabs>
              <w:tab w:val="center" w:pos="4680"/>
              <w:tab w:val="right" w:pos="9360"/>
            </w:tabs>
            <w:spacing w:after="0" w:line="240" w:lineRule="auto"/>
            <w:rPr>
              <w:rFonts w:ascii="Trebuchet MS" w:eastAsia="MS Gothic" w:hAnsi="Trebuchet MS"/>
              <w:color w:val="404040"/>
              <w:sz w:val="19"/>
              <w:lang w:val="it-IT" w:eastAsia="it-IT"/>
            </w:rPr>
          </w:pPr>
        </w:p>
        <w:p w14:paraId="4DD20EDD" w14:textId="77777777" w:rsidR="003E4026" w:rsidRDefault="00E45DCB">
          <w:pPr>
            <w:tabs>
              <w:tab w:val="center" w:pos="4680"/>
              <w:tab w:val="right" w:pos="9360"/>
            </w:tabs>
            <w:spacing w:after="0" w:line="240" w:lineRule="auto"/>
          </w:pPr>
          <w:r>
            <w:rPr>
              <w:noProof/>
              <w:lang w:val="ro-RO" w:eastAsia="ro-RO"/>
            </w:rPr>
            <w:drawing>
              <wp:inline distT="0" distB="0" distL="0" distR="0" wp14:anchorId="0CCD5D29" wp14:editId="3D7BA198">
                <wp:extent cx="937260" cy="628015"/>
                <wp:effectExtent l="0" t="0" r="0" b="0"/>
                <wp:docPr id="3" name="Picture" descr="EU 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EU flag_yellow_low"/>
                        <pic:cNvPicPr>
                          <a:picLocks noChangeAspect="1" noChangeArrowheads="1"/>
                        </pic:cNvPicPr>
                      </pic:nvPicPr>
                      <pic:blipFill>
                        <a:blip r:embed="rId1"/>
                        <a:stretch>
                          <a:fillRect/>
                        </a:stretch>
                      </pic:blipFill>
                      <pic:spPr bwMode="auto">
                        <a:xfrm>
                          <a:off x="0" y="0"/>
                          <a:ext cx="937260" cy="628015"/>
                        </a:xfrm>
                        <a:prstGeom prst="rect">
                          <a:avLst/>
                        </a:prstGeom>
                        <a:noFill/>
                        <a:ln w="9525">
                          <a:noFill/>
                          <a:miter lim="800000"/>
                          <a:headEnd/>
                          <a:tailEnd/>
                        </a:ln>
                      </pic:spPr>
                    </pic:pic>
                  </a:graphicData>
                </a:graphic>
              </wp:inline>
            </w:drawing>
          </w:r>
        </w:p>
      </w:tc>
      <w:tc>
        <w:tcPr>
          <w:tcW w:w="8286" w:type="dxa"/>
          <w:tcBorders>
            <w:top w:val="nil"/>
            <w:left w:val="nil"/>
            <w:bottom w:val="nil"/>
            <w:right w:val="nil"/>
          </w:tcBorders>
          <w:shd w:val="clear" w:color="auto" w:fill="FFFFFF"/>
        </w:tcPr>
        <w:p w14:paraId="0E912308" w14:textId="77777777" w:rsidR="003E4026" w:rsidRDefault="003E4026">
          <w:pPr>
            <w:tabs>
              <w:tab w:val="center" w:pos="4680"/>
              <w:tab w:val="right" w:pos="9360"/>
            </w:tabs>
            <w:spacing w:after="0" w:line="240" w:lineRule="auto"/>
            <w:rPr>
              <w:rFonts w:ascii="Trebuchet MS" w:eastAsia="MS Gothic" w:hAnsi="Trebuchet MS"/>
              <w:color w:val="404040"/>
              <w:sz w:val="19"/>
              <w:lang w:val="it-IT" w:eastAsia="it-IT"/>
            </w:rPr>
          </w:pPr>
        </w:p>
        <w:p w14:paraId="70F9AF36" w14:textId="77777777" w:rsidR="003E4026" w:rsidRDefault="00E45DCB">
          <w:pPr>
            <w:tabs>
              <w:tab w:val="center" w:pos="4680"/>
              <w:tab w:val="right" w:pos="9360"/>
            </w:tabs>
            <w:spacing w:after="0" w:line="240" w:lineRule="auto"/>
            <w:rPr>
              <w:rFonts w:ascii="Trebuchet MS" w:eastAsia="MS Gothic" w:hAnsi="Trebuchet MS"/>
              <w:color w:val="404040"/>
              <w:sz w:val="19"/>
              <w:lang w:eastAsia="it-IT"/>
            </w:rPr>
          </w:pPr>
          <w:r>
            <w:rPr>
              <w:rFonts w:ascii="Trebuchet MS" w:eastAsia="MS Gothic" w:hAnsi="Trebuchet MS"/>
              <w:color w:val="404040"/>
              <w:sz w:val="19"/>
              <w:lang w:eastAsia="it-IT"/>
            </w:rPr>
            <w:t>Project “</w:t>
          </w:r>
          <w:proofErr w:type="spellStart"/>
          <w:r>
            <w:rPr>
              <w:rFonts w:ascii="Trebuchet MS" w:eastAsia="MS Gothic" w:hAnsi="Trebuchet MS"/>
              <w:color w:val="404040"/>
              <w:sz w:val="19"/>
              <w:lang w:eastAsia="it-IT"/>
            </w:rPr>
            <w:t>Mobilities</w:t>
          </w:r>
          <w:proofErr w:type="spellEnd"/>
          <w:r>
            <w:rPr>
              <w:rFonts w:ascii="Trebuchet MS" w:eastAsia="MS Gothic" w:hAnsi="Trebuchet MS"/>
              <w:color w:val="404040"/>
              <w:sz w:val="19"/>
              <w:lang w:eastAsia="it-IT"/>
            </w:rPr>
            <w:t xml:space="preserve"> for professionals and qualified employees of MSMEs” </w:t>
          </w:r>
          <w:proofErr w:type="spellStart"/>
          <w:r>
            <w:rPr>
              <w:rFonts w:ascii="Trebuchet MS" w:eastAsia="MS Gothic" w:hAnsi="Trebuchet MS"/>
              <w:b/>
              <w:color w:val="404040"/>
              <w:sz w:val="19"/>
              <w:lang w:eastAsia="it-IT"/>
            </w:rPr>
            <w:t>MobiliseSME</w:t>
          </w:r>
          <w:proofErr w:type="spellEnd"/>
          <w:r>
            <w:rPr>
              <w:rFonts w:ascii="Trebuchet MS" w:eastAsia="MS Gothic" w:hAnsi="Trebuchet MS"/>
              <w:color w:val="404040"/>
              <w:sz w:val="19"/>
              <w:lang w:eastAsia="it-IT"/>
            </w:rPr>
            <w:t>,</w:t>
          </w:r>
        </w:p>
        <w:p w14:paraId="35C3AB7F" w14:textId="77777777" w:rsidR="003E4026" w:rsidRDefault="00E45DCB">
          <w:pPr>
            <w:tabs>
              <w:tab w:val="center" w:pos="4680"/>
              <w:tab w:val="right" w:pos="9360"/>
            </w:tabs>
            <w:spacing w:after="0" w:line="240" w:lineRule="auto"/>
            <w:rPr>
              <w:rFonts w:ascii="Trebuchet MS" w:eastAsia="MS Gothic" w:hAnsi="Trebuchet MS"/>
              <w:color w:val="404040"/>
              <w:sz w:val="19"/>
              <w:lang w:eastAsia="it-IT"/>
            </w:rPr>
          </w:pPr>
          <w:r>
            <w:rPr>
              <w:rFonts w:ascii="Trebuchet MS" w:eastAsia="MS Gothic" w:hAnsi="Trebuchet MS"/>
              <w:color w:val="404040"/>
              <w:sz w:val="19"/>
              <w:lang w:eastAsia="it-IT"/>
            </w:rPr>
            <w:t xml:space="preserve">co-financed by the </w:t>
          </w:r>
          <w:proofErr w:type="spellStart"/>
          <w:r>
            <w:rPr>
              <w:rFonts w:ascii="Trebuchet MS" w:eastAsia="MS Gothic" w:hAnsi="Trebuchet MS"/>
              <w:color w:val="404040"/>
              <w:sz w:val="19"/>
              <w:lang w:eastAsia="it-IT"/>
            </w:rPr>
            <w:t>EaSI</w:t>
          </w:r>
          <w:proofErr w:type="spellEnd"/>
          <w:r>
            <w:rPr>
              <w:rFonts w:ascii="Trebuchet MS" w:eastAsia="MS Gothic" w:hAnsi="Trebuchet MS"/>
              <w:color w:val="404040"/>
              <w:sz w:val="19"/>
              <w:lang w:eastAsia="it-IT"/>
            </w:rPr>
            <w:t xml:space="preserve"> Programme (PROGRESS) of the European Union, 2016-2017.</w:t>
          </w:r>
        </w:p>
        <w:p w14:paraId="2E96EACC" w14:textId="77777777" w:rsidR="003E4026" w:rsidRDefault="003E4026">
          <w:pPr>
            <w:tabs>
              <w:tab w:val="center" w:pos="4680"/>
              <w:tab w:val="right" w:pos="9360"/>
            </w:tabs>
            <w:spacing w:after="0" w:line="240" w:lineRule="auto"/>
            <w:rPr>
              <w:rFonts w:ascii="Trebuchet MS" w:eastAsia="MS Gothic" w:hAnsi="Trebuchet MS"/>
              <w:color w:val="404040"/>
              <w:sz w:val="19"/>
              <w:lang w:eastAsia="it-IT"/>
            </w:rPr>
          </w:pPr>
        </w:p>
        <w:p w14:paraId="6EBA6EC5" w14:textId="77777777" w:rsidR="003E4026" w:rsidRDefault="00E45DCB">
          <w:pPr>
            <w:tabs>
              <w:tab w:val="center" w:pos="4680"/>
              <w:tab w:val="right" w:pos="9360"/>
            </w:tabs>
            <w:spacing w:after="0" w:line="240" w:lineRule="auto"/>
            <w:rPr>
              <w:rFonts w:ascii="Trebuchet MS" w:eastAsia="MS Gothic" w:hAnsi="Trebuchet MS"/>
              <w:color w:val="404040"/>
              <w:sz w:val="19"/>
              <w:lang w:eastAsia="it-IT"/>
            </w:rPr>
          </w:pPr>
          <w:r>
            <w:rPr>
              <w:rFonts w:ascii="Trebuchet MS" w:eastAsia="MS Gothic" w:hAnsi="Trebuchet MS"/>
              <w:color w:val="404040"/>
              <w:sz w:val="19"/>
              <w:lang w:eastAsia="it-IT"/>
            </w:rPr>
            <w:t>The content of this document reflects only the authors' views, i.e. that of the partners of the project &lt;</w:t>
          </w:r>
          <w:proofErr w:type="spellStart"/>
          <w:r>
            <w:rPr>
              <w:rFonts w:ascii="Trebuchet MS" w:eastAsia="MS Gothic" w:hAnsi="Trebuchet MS"/>
              <w:color w:val="404040"/>
              <w:sz w:val="19"/>
              <w:lang w:eastAsia="it-IT"/>
            </w:rPr>
            <w:t>MobiliseSME</w:t>
          </w:r>
          <w:proofErr w:type="spellEnd"/>
          <w:r>
            <w:rPr>
              <w:rFonts w:ascii="Trebuchet MS" w:eastAsia="MS Gothic" w:hAnsi="Trebuchet MS"/>
              <w:color w:val="404040"/>
              <w:sz w:val="19"/>
              <w:lang w:eastAsia="it-IT"/>
            </w:rPr>
            <w:t>&gt;. The European Commission is not responsible for any use that may be made of the information it contains."</w:t>
          </w:r>
        </w:p>
        <w:p w14:paraId="01387388" w14:textId="77777777" w:rsidR="003E4026" w:rsidRDefault="003E4026">
          <w:pPr>
            <w:tabs>
              <w:tab w:val="center" w:pos="4680"/>
              <w:tab w:val="right" w:pos="9360"/>
            </w:tabs>
            <w:spacing w:after="0" w:line="240" w:lineRule="auto"/>
            <w:rPr>
              <w:rFonts w:ascii="Trebuchet MS" w:eastAsia="MS Gothic" w:hAnsi="Trebuchet MS"/>
              <w:color w:val="404040"/>
              <w:sz w:val="19"/>
              <w:lang w:eastAsia="it-IT"/>
            </w:rPr>
          </w:pPr>
        </w:p>
      </w:tc>
    </w:tr>
  </w:tbl>
  <w:p w14:paraId="4D4A8B73" w14:textId="77777777" w:rsidR="003E4026" w:rsidRDefault="003E4026">
    <w:pPr>
      <w:tabs>
        <w:tab w:val="left" w:pos="1276"/>
        <w:tab w:val="left" w:pos="1560"/>
      </w:tabs>
      <w:spacing w:after="0" w:line="240" w:lineRule="auto"/>
      <w:ind w:left="1701"/>
      <w:rPr>
        <w:rFonts w:ascii="Cambria" w:hAnsi="Cambria" w:cs="Cambr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C2849" w14:textId="77777777" w:rsidR="00685529" w:rsidRDefault="00685529">
      <w:pPr>
        <w:spacing w:after="0" w:line="240" w:lineRule="auto"/>
      </w:pPr>
      <w:r>
        <w:separator/>
      </w:r>
    </w:p>
  </w:footnote>
  <w:footnote w:type="continuationSeparator" w:id="0">
    <w:p w14:paraId="07F13ED1" w14:textId="77777777" w:rsidR="00685529" w:rsidRDefault="00685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956F6" w14:textId="77777777" w:rsidR="003E4026" w:rsidRDefault="00E45DCB">
    <w:pPr>
      <w:pStyle w:val="Header"/>
      <w:rPr>
        <w:lang w:val="it-IT" w:eastAsia="it-IT"/>
      </w:rPr>
    </w:pPr>
    <w:r>
      <w:rPr>
        <w:noProof/>
        <w:lang w:val="ro-RO" w:eastAsia="ro-RO"/>
      </w:rPr>
      <w:drawing>
        <wp:inline distT="0" distB="0" distL="0" distR="0" wp14:anchorId="5F7D0134" wp14:editId="59A41FA0">
          <wp:extent cx="3625850" cy="525780"/>
          <wp:effectExtent l="0" t="0" r="0" b="0"/>
          <wp:docPr id="1" name="Picture" descr="C:\Users\vivobook\Dropbox\Lavoro\Clients\CEA-PME\MobiliseSME\Communication Documents\Visual Identity\Logo\High Res Transparent MobiliseS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vivobook\Dropbox\Lavoro\Clients\CEA-PME\MobiliseSME\Communication Documents\Visual Identity\Logo\High Res Transparent MobiliseSME Logo.png"/>
                  <pic:cNvPicPr>
                    <a:picLocks noChangeAspect="1" noChangeArrowheads="1"/>
                  </pic:cNvPicPr>
                </pic:nvPicPr>
                <pic:blipFill>
                  <a:blip r:embed="rId1"/>
                  <a:stretch>
                    <a:fillRect/>
                  </a:stretch>
                </pic:blipFill>
                <pic:spPr bwMode="auto">
                  <a:xfrm>
                    <a:off x="0" y="0"/>
                    <a:ext cx="3625850" cy="525780"/>
                  </a:xfrm>
                  <a:prstGeom prst="rect">
                    <a:avLst/>
                  </a:prstGeom>
                  <a:noFill/>
                  <a:ln w="9525">
                    <a:noFill/>
                    <a:miter lim="800000"/>
                    <a:headEnd/>
                    <a:tailEnd/>
                  </a:ln>
                </pic:spPr>
              </pic:pic>
            </a:graphicData>
          </a:graphic>
        </wp:inline>
      </w:drawing>
    </w:r>
    <w:r>
      <w:rPr>
        <w:lang w:val="it-IT" w:eastAsia="it-IT"/>
      </w:rPr>
      <w:t xml:space="preserve">                                 </w:t>
    </w:r>
    <w:r>
      <w:rPr>
        <w:noProof/>
        <w:lang w:val="ro-RO" w:eastAsia="ro-RO"/>
      </w:rPr>
      <w:drawing>
        <wp:inline distT="0" distB="0" distL="0" distR="0" wp14:anchorId="085E2102" wp14:editId="1E250213">
          <wp:extent cx="1447800" cy="65532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tretch>
                    <a:fillRect/>
                  </a:stretch>
                </pic:blipFill>
                <pic:spPr bwMode="auto">
                  <a:xfrm>
                    <a:off x="0" y="0"/>
                    <a:ext cx="1447800" cy="655320"/>
                  </a:xfrm>
                  <a:prstGeom prst="rect">
                    <a:avLst/>
                  </a:prstGeom>
                  <a:noFill/>
                  <a:ln w="9525">
                    <a:noFill/>
                    <a:miter lim="800000"/>
                    <a:headEnd/>
                    <a:tailEnd/>
                  </a:ln>
                </pic:spPr>
              </pic:pic>
            </a:graphicData>
          </a:graphic>
        </wp:inline>
      </w:drawing>
    </w:r>
  </w:p>
  <w:p w14:paraId="1459F2BD" w14:textId="77777777" w:rsidR="003E4026" w:rsidRDefault="003E4026">
    <w:pPr>
      <w:pStyle w:val="Header"/>
      <w:rPr>
        <w:lang w:val="it-IT"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A0A8E"/>
    <w:multiLevelType w:val="multilevel"/>
    <w:tmpl w:val="25AEE76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31EA16E0"/>
    <w:multiLevelType w:val="multilevel"/>
    <w:tmpl w:val="A48642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54361D2"/>
    <w:multiLevelType w:val="multilevel"/>
    <w:tmpl w:val="02CA687E"/>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nsid w:val="542E430D"/>
    <w:multiLevelType w:val="multilevel"/>
    <w:tmpl w:val="394EE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5F5B25"/>
    <w:multiLevelType w:val="multilevel"/>
    <w:tmpl w:val="AD5AD0E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CD14368"/>
    <w:multiLevelType w:val="multilevel"/>
    <w:tmpl w:val="58809E90"/>
    <w:lvl w:ilvl="0">
      <w:start w:val="1"/>
      <w:numFmt w:val="bullet"/>
      <w:lvlText w:val=""/>
      <w:lvlJc w:val="left"/>
      <w:pPr>
        <w:ind w:left="1068" w:hanging="360"/>
      </w:pPr>
      <w:rPr>
        <w:rFonts w:ascii="Symbol" w:hAnsi="Symbol" w:cs="Symbol" w:hint="default"/>
      </w:rPr>
    </w:lvl>
    <w:lvl w:ilvl="1">
      <w:start w:val="1"/>
      <w:numFmt w:val="bullet"/>
      <w:lvlText w:val="◦"/>
      <w:lvlJc w:val="left"/>
      <w:pPr>
        <w:ind w:left="1428" w:hanging="360"/>
      </w:pPr>
      <w:rPr>
        <w:rFonts w:ascii="OpenSymbol" w:hAnsi="OpenSymbol" w:cs="OpenSymbol" w:hint="default"/>
      </w:rPr>
    </w:lvl>
    <w:lvl w:ilvl="2">
      <w:start w:val="1"/>
      <w:numFmt w:val="bullet"/>
      <w:lvlText w:val="▪"/>
      <w:lvlJc w:val="left"/>
      <w:pPr>
        <w:ind w:left="1788" w:hanging="360"/>
      </w:pPr>
      <w:rPr>
        <w:rFonts w:ascii="OpenSymbol" w:hAnsi="OpenSymbol" w:cs="OpenSymbol" w:hint="default"/>
      </w:rPr>
    </w:lvl>
    <w:lvl w:ilvl="3">
      <w:start w:val="1"/>
      <w:numFmt w:val="bullet"/>
      <w:lvlText w:val=""/>
      <w:lvlJc w:val="left"/>
      <w:pPr>
        <w:ind w:left="2148" w:hanging="360"/>
      </w:pPr>
      <w:rPr>
        <w:rFonts w:ascii="Symbol" w:hAnsi="Symbol" w:cs="Symbol" w:hint="default"/>
      </w:rPr>
    </w:lvl>
    <w:lvl w:ilvl="4">
      <w:start w:val="1"/>
      <w:numFmt w:val="bullet"/>
      <w:lvlText w:val="◦"/>
      <w:lvlJc w:val="left"/>
      <w:pPr>
        <w:ind w:left="2508" w:hanging="360"/>
      </w:pPr>
      <w:rPr>
        <w:rFonts w:ascii="OpenSymbol" w:hAnsi="OpenSymbol" w:cs="OpenSymbol" w:hint="default"/>
      </w:rPr>
    </w:lvl>
    <w:lvl w:ilvl="5">
      <w:start w:val="1"/>
      <w:numFmt w:val="bullet"/>
      <w:lvlText w:val="▪"/>
      <w:lvlJc w:val="left"/>
      <w:pPr>
        <w:ind w:left="2868" w:hanging="360"/>
      </w:pPr>
      <w:rPr>
        <w:rFonts w:ascii="OpenSymbol" w:hAnsi="OpenSymbol" w:cs="OpenSymbol" w:hint="default"/>
      </w:rPr>
    </w:lvl>
    <w:lvl w:ilvl="6">
      <w:start w:val="1"/>
      <w:numFmt w:val="bullet"/>
      <w:lvlText w:val=""/>
      <w:lvlJc w:val="left"/>
      <w:pPr>
        <w:ind w:left="3228" w:hanging="360"/>
      </w:pPr>
      <w:rPr>
        <w:rFonts w:ascii="Symbol" w:hAnsi="Symbol" w:cs="Symbol" w:hint="default"/>
      </w:rPr>
    </w:lvl>
    <w:lvl w:ilvl="7">
      <w:start w:val="1"/>
      <w:numFmt w:val="bullet"/>
      <w:lvlText w:val="◦"/>
      <w:lvlJc w:val="left"/>
      <w:pPr>
        <w:ind w:left="3588" w:hanging="360"/>
      </w:pPr>
      <w:rPr>
        <w:rFonts w:ascii="OpenSymbol" w:hAnsi="OpenSymbol" w:cs="OpenSymbol" w:hint="default"/>
      </w:rPr>
    </w:lvl>
    <w:lvl w:ilvl="8">
      <w:start w:val="1"/>
      <w:numFmt w:val="bullet"/>
      <w:lvlText w:val="▪"/>
      <w:lvlJc w:val="left"/>
      <w:pPr>
        <w:ind w:left="3948" w:hanging="360"/>
      </w:pPr>
      <w:rPr>
        <w:rFonts w:ascii="OpenSymbol" w:hAnsi="OpenSymbol" w:cs="OpenSymbol" w:hint="default"/>
      </w:rPr>
    </w:lvl>
  </w:abstractNum>
  <w:abstractNum w:abstractNumId="6">
    <w:nsid w:val="7FE66EFF"/>
    <w:multiLevelType w:val="multilevel"/>
    <w:tmpl w:val="FB72F12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26"/>
    <w:rsid w:val="00113EEA"/>
    <w:rsid w:val="002178DD"/>
    <w:rsid w:val="003161E9"/>
    <w:rsid w:val="003E4026"/>
    <w:rsid w:val="00685529"/>
    <w:rsid w:val="009A41E0"/>
    <w:rsid w:val="009C44F3"/>
    <w:rsid w:val="00E45DCB"/>
    <w:rsid w:val="00F2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80"/>
    <w:pPr>
      <w:suppressAutoHyphens/>
      <w:spacing w:after="200"/>
    </w:pPr>
    <w:rPr>
      <w:lang w:val="en-GB"/>
    </w:rPr>
  </w:style>
  <w:style w:type="paragraph" w:styleId="Heading1">
    <w:name w:val="heading 1"/>
    <w:basedOn w:val="Normal"/>
    <w:link w:val="Heading1Char"/>
    <w:uiPriority w:val="9"/>
    <w:qFormat/>
    <w:rsid w:val="008712C5"/>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5565B"/>
    <w:rPr>
      <w:lang w:val="en-GB"/>
    </w:rPr>
  </w:style>
  <w:style w:type="character" w:customStyle="1" w:styleId="FooterChar">
    <w:name w:val="Footer Char"/>
    <w:basedOn w:val="DefaultParagraphFont"/>
    <w:link w:val="Footer"/>
    <w:uiPriority w:val="99"/>
    <w:rsid w:val="0015565B"/>
    <w:rPr>
      <w:lang w:val="en-GB"/>
    </w:rPr>
  </w:style>
  <w:style w:type="character" w:customStyle="1" w:styleId="BalloonTextChar">
    <w:name w:val="Balloon Text Char"/>
    <w:basedOn w:val="DefaultParagraphFont"/>
    <w:link w:val="BalloonText"/>
    <w:uiPriority w:val="99"/>
    <w:semiHidden/>
    <w:rsid w:val="0015565B"/>
    <w:rPr>
      <w:rFonts w:ascii="Tahoma" w:hAnsi="Tahoma" w:cs="Tahoma"/>
      <w:sz w:val="16"/>
      <w:szCs w:val="16"/>
      <w:lang w:val="en-GB"/>
    </w:rPr>
  </w:style>
  <w:style w:type="character" w:customStyle="1" w:styleId="ListLabel1">
    <w:name w:val="ListLabel 1"/>
    <w:rPr>
      <w:rFonts w:cs="Courier New"/>
    </w:rPr>
  </w:style>
  <w:style w:type="character" w:customStyle="1" w:styleId="Heading1Char">
    <w:name w:val="Heading 1 Char"/>
    <w:basedOn w:val="DefaultParagraphFont"/>
    <w:link w:val="Heading1"/>
    <w:uiPriority w:val="9"/>
    <w:rsid w:val="008712C5"/>
    <w:rPr>
      <w:rFonts w:ascii="Cambria" w:hAnsi="Cambria"/>
      <w:b/>
      <w:bCs/>
      <w:color w:val="365F91"/>
      <w:sz w:val="28"/>
      <w:szCs w:val="28"/>
      <w:lang w:val="en-GB"/>
    </w:rPr>
  </w:style>
  <w:style w:type="character" w:customStyle="1" w:styleId="ListLabel2">
    <w:name w:val="ListLabel 2"/>
    <w:rPr>
      <w:rFonts w:eastAsia="Times New Roman" w:cs="OpenSymbol"/>
    </w:rPr>
  </w:style>
  <w:style w:type="character" w:customStyle="1" w:styleId="ListLabel3">
    <w:name w:val="ListLabel 3"/>
    <w:rPr>
      <w:rFonts w:cs="Courier New"/>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uiPriority w:val="99"/>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link w:val="HeaderChar"/>
    <w:uiPriority w:val="99"/>
    <w:unhideWhenUsed/>
    <w:rsid w:val="0015565B"/>
    <w:pPr>
      <w:tabs>
        <w:tab w:val="center" w:pos="4819"/>
        <w:tab w:val="right" w:pos="9638"/>
      </w:tabs>
      <w:spacing w:after="0" w:line="240" w:lineRule="auto"/>
    </w:pPr>
  </w:style>
  <w:style w:type="paragraph" w:styleId="Footer">
    <w:name w:val="footer"/>
    <w:basedOn w:val="Normal"/>
    <w:link w:val="FooterChar"/>
    <w:uiPriority w:val="99"/>
    <w:unhideWhenUsed/>
    <w:rsid w:val="0015565B"/>
    <w:pPr>
      <w:tabs>
        <w:tab w:val="center" w:pos="4819"/>
        <w:tab w:val="right" w:pos="9638"/>
      </w:tabs>
      <w:spacing w:after="0" w:line="240" w:lineRule="auto"/>
    </w:pPr>
  </w:style>
  <w:style w:type="paragraph" w:styleId="BalloonText">
    <w:name w:val="Balloon Text"/>
    <w:basedOn w:val="Normal"/>
    <w:link w:val="BalloonTextChar"/>
    <w:uiPriority w:val="99"/>
    <w:semiHidden/>
    <w:unhideWhenUsed/>
    <w:rsid w:val="0015565B"/>
    <w:pPr>
      <w:spacing w:after="0" w:line="240" w:lineRule="auto"/>
    </w:pPr>
    <w:rPr>
      <w:rFonts w:ascii="Tahoma" w:hAnsi="Tahoma" w:cs="Tahoma"/>
      <w:sz w:val="16"/>
      <w:szCs w:val="16"/>
    </w:rPr>
  </w:style>
  <w:style w:type="paragraph" w:styleId="ListParagraph">
    <w:name w:val="List Paragraph"/>
    <w:basedOn w:val="Normal"/>
    <w:uiPriority w:val="34"/>
    <w:qFormat/>
    <w:rsid w:val="009A7DAD"/>
    <w:pPr>
      <w:ind w:left="720"/>
      <w:contextualSpacing/>
    </w:pPr>
  </w:style>
  <w:style w:type="paragraph" w:styleId="Revision">
    <w:name w:val="Revision"/>
    <w:uiPriority w:val="99"/>
    <w:semiHidden/>
    <w:rsid w:val="00417D0D"/>
    <w:pPr>
      <w:suppressAutoHyphens/>
      <w:spacing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80"/>
    <w:pPr>
      <w:suppressAutoHyphens/>
      <w:spacing w:after="200"/>
    </w:pPr>
    <w:rPr>
      <w:lang w:val="en-GB"/>
    </w:rPr>
  </w:style>
  <w:style w:type="paragraph" w:styleId="Heading1">
    <w:name w:val="heading 1"/>
    <w:basedOn w:val="Normal"/>
    <w:link w:val="Heading1Char"/>
    <w:uiPriority w:val="9"/>
    <w:qFormat/>
    <w:rsid w:val="008712C5"/>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5565B"/>
    <w:rPr>
      <w:lang w:val="en-GB"/>
    </w:rPr>
  </w:style>
  <w:style w:type="character" w:customStyle="1" w:styleId="FooterChar">
    <w:name w:val="Footer Char"/>
    <w:basedOn w:val="DefaultParagraphFont"/>
    <w:link w:val="Footer"/>
    <w:uiPriority w:val="99"/>
    <w:rsid w:val="0015565B"/>
    <w:rPr>
      <w:lang w:val="en-GB"/>
    </w:rPr>
  </w:style>
  <w:style w:type="character" w:customStyle="1" w:styleId="BalloonTextChar">
    <w:name w:val="Balloon Text Char"/>
    <w:basedOn w:val="DefaultParagraphFont"/>
    <w:link w:val="BalloonText"/>
    <w:uiPriority w:val="99"/>
    <w:semiHidden/>
    <w:rsid w:val="0015565B"/>
    <w:rPr>
      <w:rFonts w:ascii="Tahoma" w:hAnsi="Tahoma" w:cs="Tahoma"/>
      <w:sz w:val="16"/>
      <w:szCs w:val="16"/>
      <w:lang w:val="en-GB"/>
    </w:rPr>
  </w:style>
  <w:style w:type="character" w:customStyle="1" w:styleId="ListLabel1">
    <w:name w:val="ListLabel 1"/>
    <w:rPr>
      <w:rFonts w:cs="Courier New"/>
    </w:rPr>
  </w:style>
  <w:style w:type="character" w:customStyle="1" w:styleId="Heading1Char">
    <w:name w:val="Heading 1 Char"/>
    <w:basedOn w:val="DefaultParagraphFont"/>
    <w:link w:val="Heading1"/>
    <w:uiPriority w:val="9"/>
    <w:rsid w:val="008712C5"/>
    <w:rPr>
      <w:rFonts w:ascii="Cambria" w:hAnsi="Cambria"/>
      <w:b/>
      <w:bCs/>
      <w:color w:val="365F91"/>
      <w:sz w:val="28"/>
      <w:szCs w:val="28"/>
      <w:lang w:val="en-GB"/>
    </w:rPr>
  </w:style>
  <w:style w:type="character" w:customStyle="1" w:styleId="ListLabel2">
    <w:name w:val="ListLabel 2"/>
    <w:rPr>
      <w:rFonts w:eastAsia="Times New Roman" w:cs="OpenSymbol"/>
    </w:rPr>
  </w:style>
  <w:style w:type="character" w:customStyle="1" w:styleId="ListLabel3">
    <w:name w:val="ListLabel 3"/>
    <w:rPr>
      <w:rFonts w:cs="Courier New"/>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uiPriority w:val="99"/>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link w:val="HeaderChar"/>
    <w:uiPriority w:val="99"/>
    <w:unhideWhenUsed/>
    <w:rsid w:val="0015565B"/>
    <w:pPr>
      <w:tabs>
        <w:tab w:val="center" w:pos="4819"/>
        <w:tab w:val="right" w:pos="9638"/>
      </w:tabs>
      <w:spacing w:after="0" w:line="240" w:lineRule="auto"/>
    </w:pPr>
  </w:style>
  <w:style w:type="paragraph" w:styleId="Footer">
    <w:name w:val="footer"/>
    <w:basedOn w:val="Normal"/>
    <w:link w:val="FooterChar"/>
    <w:uiPriority w:val="99"/>
    <w:unhideWhenUsed/>
    <w:rsid w:val="0015565B"/>
    <w:pPr>
      <w:tabs>
        <w:tab w:val="center" w:pos="4819"/>
        <w:tab w:val="right" w:pos="9638"/>
      </w:tabs>
      <w:spacing w:after="0" w:line="240" w:lineRule="auto"/>
    </w:pPr>
  </w:style>
  <w:style w:type="paragraph" w:styleId="BalloonText">
    <w:name w:val="Balloon Text"/>
    <w:basedOn w:val="Normal"/>
    <w:link w:val="BalloonTextChar"/>
    <w:uiPriority w:val="99"/>
    <w:semiHidden/>
    <w:unhideWhenUsed/>
    <w:rsid w:val="0015565B"/>
    <w:pPr>
      <w:spacing w:after="0" w:line="240" w:lineRule="auto"/>
    </w:pPr>
    <w:rPr>
      <w:rFonts w:ascii="Tahoma" w:hAnsi="Tahoma" w:cs="Tahoma"/>
      <w:sz w:val="16"/>
      <w:szCs w:val="16"/>
    </w:rPr>
  </w:style>
  <w:style w:type="paragraph" w:styleId="ListParagraph">
    <w:name w:val="List Paragraph"/>
    <w:basedOn w:val="Normal"/>
    <w:uiPriority w:val="34"/>
    <w:qFormat/>
    <w:rsid w:val="009A7DAD"/>
    <w:pPr>
      <w:ind w:left="720"/>
      <w:contextualSpacing/>
    </w:pPr>
  </w:style>
  <w:style w:type="paragraph" w:styleId="Revision">
    <w:name w:val="Revision"/>
    <w:uiPriority w:val="99"/>
    <w:semiHidden/>
    <w:rsid w:val="00417D0D"/>
    <w:pPr>
      <w:suppressAutoHyphens/>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B80B-FE6D-42FF-8F4D-13CEFFF5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Marchese</dc:creator>
  <cp:lastModifiedBy>Denisa</cp:lastModifiedBy>
  <cp:revision>2</cp:revision>
  <cp:lastPrinted>2016-03-18T15:27:00Z</cp:lastPrinted>
  <dcterms:created xsi:type="dcterms:W3CDTF">2017-01-23T08:46:00Z</dcterms:created>
  <dcterms:modified xsi:type="dcterms:W3CDTF">2017-01-23T08:46:00Z</dcterms:modified>
  <dc:language>en-US</dc:language>
</cp:coreProperties>
</file>